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start"/>
        <w:tblInd w:w="-34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0" w:lastRow="1" w:firstColumn="1" w:lastColumn="1" w:noHBand="0" w:val="01e0"/>
      </w:tblPr>
      <w:tblGrid>
        <w:gridCol w:w="3045"/>
        <w:gridCol w:w="278"/>
        <w:gridCol w:w="5747"/>
      </w:tblGrid>
      <w:tr>
        <w:trPr/>
        <w:tc>
          <w:tcPr>
            <w:tcW w:w="30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République Française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cs="Arial" w:ascii="Arial" w:hAnsi="Arial"/>
                <w:b/>
                <w:sz w:val="16"/>
                <w:szCs w:val="16"/>
              </w:rPr>
              <w:t>*****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Département de l'Aisne</w:t>
            </w:r>
          </w:p>
        </w:tc>
        <w:tc>
          <w:tcPr>
            <w:tcW w:w="278" w:type="dxa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7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CCCCCC" w:val="clear"/>
          </w:tcPr>
          <w:p>
            <w:pPr>
              <w:pStyle w:val="Normal"/>
              <w:spacing w:before="6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DELIBERATION</w:t>
            </w:r>
          </w:p>
          <w:p>
            <w:pPr>
              <w:pStyle w:val="Normal"/>
              <w:spacing w:before="6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COMITE SYNDICAL</w:t>
            </w:r>
          </w:p>
          <w:p>
            <w:pPr>
              <w:pStyle w:val="Normal"/>
              <w:spacing w:before="6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POLE D'EQUILIBRE TERRITORIAL ET RURAL DU SOISSONNAIS ET DU VALOIS</w:t>
            </w:r>
          </w:p>
          <w:p>
            <w:pPr>
              <w:pStyle w:val="Normal"/>
              <w:spacing w:before="12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*****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SEANCE DU 5 DÉCEMBRE 2025</w:t>
            </w:r>
          </w:p>
        </w:tc>
      </w:tr>
    </w:tbl>
    <w:p>
      <w:pPr>
        <w:pStyle w:val="Normal"/>
        <w:rPr/>
      </w:pPr>
      <w:r>
        <w:rPr/>
      </w:r>
    </w:p>
    <w:tbl>
      <w:tblPr>
        <w:tblStyle w:val="TableGridPHPDOCX0"/>
        <w:tblW w:w="5000" w:type="pct"/>
        <w:jc w:val="start"/>
        <w:tblInd w:w="-137" w:type="dxa"/>
        <w:tblLayout w:type="fixed"/>
        <w:tblCellMar>
          <w:top w:w="0" w:type="dxa"/>
          <w:start w:w="0" w:type="dxa"/>
          <w:bottom w:w="0" w:type="dxa"/>
          <w:end w:w="0" w:type="dxa"/>
        </w:tblCellMar>
        <w:tblLook w:firstRow="1" w:noVBand="0" w:lastRow="1" w:firstColumn="1" w:lastColumn="1" w:noHBand="0" w:val="01e0"/>
      </w:tblPr>
      <w:tblGrid>
        <w:gridCol w:w="3070"/>
        <w:gridCol w:w="276"/>
        <w:gridCol w:w="5724"/>
      </w:tblGrid>
      <w:tr>
        <w:trPr/>
        <w:tc>
          <w:tcPr>
            <w:tcW w:w="3070" w:type="dxa"/>
            <w:tcBorders>
              <w:top w:val="nil"/>
              <w:start w:val="nil"/>
              <w:bottom w:val="nil"/>
              <w:end w:val="nil"/>
            </w:tcBorders>
          </w:tcPr>
          <w:tbl>
            <w:tblPr>
              <w:tblW w:w="4950" w:type="pct"/>
              <w:jc w:val="start"/>
              <w:tblInd w:w="113" w:type="dxa"/>
              <w:tblLayout w:type="fixed"/>
              <w:tblCellMar>
                <w:top w:w="0" w:type="dxa"/>
                <w:start w:w="108" w:type="dxa"/>
                <w:bottom w:w="0" w:type="dxa"/>
                <w:end w:w="108" w:type="dxa"/>
              </w:tblCellMar>
              <w:tblLook w:firstRow="1" w:noVBand="0" w:lastRow="1" w:firstColumn="1" w:lastColumn="1" w:noHBand="0" w:val="01e0"/>
            </w:tblPr>
            <w:tblGrid>
              <w:gridCol w:w="1014"/>
              <w:gridCol w:w="1009"/>
              <w:gridCol w:w="1016"/>
            </w:tblGrid>
            <w:tr>
              <w:trPr>
                <w:trHeight w:val="200" w:hRule="atLeast"/>
              </w:trPr>
              <w:tc>
                <w:tcPr>
                  <w:tcW w:w="3039" w:type="dxa"/>
                  <w:gridSpan w:val="3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Normal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cs="Arial" w:ascii="Arial" w:hAnsi="Arial"/>
                      <w:b/>
                      <w:sz w:val="18"/>
                      <w:szCs w:val="18"/>
                    </w:rPr>
                    <w:t>Nombre de Membres</w:t>
                  </w:r>
                </w:p>
              </w:tc>
            </w:tr>
            <w:tr>
              <w:trPr>
                <w:trHeight w:val="651" w:hRule="atLeast"/>
              </w:trPr>
              <w:tc>
                <w:tcPr>
                  <w:tcW w:w="1014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vAlign w:val="center"/>
                </w:tcPr>
                <w:p>
                  <w:pPr>
                    <w:pStyle w:val="Normal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>
                    <w:rPr>
                      <w:rFonts w:cs="Arial" w:ascii="Arial" w:hAnsi="Arial"/>
                      <w:sz w:val="14"/>
                      <w:szCs w:val="14"/>
                    </w:rPr>
                    <w:t>Membres en exercice</w:t>
                  </w:r>
                </w:p>
              </w:tc>
              <w:tc>
                <w:tcPr>
                  <w:tcW w:w="1009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vAlign w:val="center"/>
                </w:tcPr>
                <w:p>
                  <w:pPr>
                    <w:pStyle w:val="Normal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>
                    <w:rPr>
                      <w:rFonts w:cs="Arial" w:ascii="Arial" w:hAnsi="Arial"/>
                      <w:sz w:val="14"/>
                      <w:szCs w:val="14"/>
                    </w:rPr>
                    <w:t>Présents</w:t>
                  </w:r>
                </w:p>
              </w:tc>
              <w:tc>
                <w:tcPr>
                  <w:tcW w:w="1016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vAlign w:val="center"/>
                </w:tcPr>
                <w:p>
                  <w:pPr>
                    <w:pStyle w:val="Normal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>
                    <w:rPr>
                      <w:rFonts w:cs="Arial" w:ascii="Arial" w:hAnsi="Arial"/>
                      <w:sz w:val="14"/>
                      <w:szCs w:val="14"/>
                    </w:rPr>
                    <w:t>Votants</w:t>
                  </w:r>
                </w:p>
              </w:tc>
            </w:tr>
            <w:tr>
              <w:trPr>
                <w:trHeight w:val="367" w:hRule="atLeast"/>
              </w:trPr>
              <w:tc>
                <w:tcPr>
                  <w:tcW w:w="1014" w:type="dxa"/>
                  <w:tcBorders>
                    <w:top w:val="single" w:sz="4" w:space="0" w:color="000000"/>
                    <w:start w:val="single" w:sz="4" w:space="0" w:color="000000"/>
                    <w:end w:val="single" w:sz="4" w:space="0" w:color="000000"/>
                  </w:tcBorders>
                  <w:vAlign w:val="center"/>
                </w:tcPr>
                <w:p>
                  <w:pPr>
                    <w:pStyle w:val="Normal"/>
                    <w:jc w:val="center"/>
                    <w:rPr>
                      <w:rFonts w:ascii="Arial" w:hAnsi="Arial" w:cs="Arial"/>
                      <w:b/>
                      <w:sz w:val="16"/>
                      <w:szCs w:val="18"/>
                    </w:rPr>
                  </w:pPr>
                  <w:r>
                    <w:rPr>
                      <w:rFonts w:cs="Arial" w:ascii="Arial" w:hAnsi="Arial"/>
                      <w:b/>
                      <w:sz w:val="16"/>
                      <w:szCs w:val="18"/>
                    </w:rPr>
                    <w:t>25</w:t>
                  </w:r>
                </w:p>
              </w:tc>
              <w:tc>
                <w:tcPr>
                  <w:tcW w:w="1009" w:type="dxa"/>
                  <w:tcBorders>
                    <w:top w:val="single" w:sz="4" w:space="0" w:color="000000"/>
                    <w:start w:val="single" w:sz="4" w:space="0" w:color="000000"/>
                    <w:end w:val="single" w:sz="4" w:space="0" w:color="000000"/>
                  </w:tcBorders>
                  <w:vAlign w:val="center"/>
                </w:tcPr>
                <w:p>
                  <w:pPr>
                    <w:pStyle w:val="Normal"/>
                    <w:jc w:val="center"/>
                    <w:rPr>
                      <w:rFonts w:ascii="Arial" w:hAnsi="Arial" w:cs="Arial"/>
                      <w:b/>
                      <w:sz w:val="16"/>
                      <w:szCs w:val="18"/>
                    </w:rPr>
                  </w:pPr>
                  <w:r>
                    <w:rPr>
                      <w:rFonts w:cs="Arial" w:ascii="Arial" w:hAnsi="Arial"/>
                      <w:b/>
                      <w:sz w:val="16"/>
                      <w:szCs w:val="18"/>
                    </w:rPr>
                    <w:t>17</w:t>
                  </w:r>
                </w:p>
              </w:tc>
              <w:tc>
                <w:tcPr>
                  <w:tcW w:w="1016" w:type="dxa"/>
                  <w:tcBorders>
                    <w:top w:val="single" w:sz="4" w:space="0" w:color="000000"/>
                    <w:start w:val="single" w:sz="4" w:space="0" w:color="000000"/>
                    <w:end w:val="single" w:sz="4" w:space="0" w:color="000000"/>
                  </w:tcBorders>
                  <w:vAlign w:val="center"/>
                </w:tcPr>
                <w:p>
                  <w:pPr>
                    <w:pStyle w:val="Normal"/>
                    <w:jc w:val="center"/>
                    <w:rPr>
                      <w:rFonts w:ascii="Arial" w:hAnsi="Arial" w:cs="Arial"/>
                      <w:b/>
                      <w:sz w:val="16"/>
                      <w:szCs w:val="18"/>
                    </w:rPr>
                  </w:pPr>
                  <w:r>
                    <w:rPr>
                      <w:rFonts w:cs="Arial" w:ascii="Arial" w:hAnsi="Arial"/>
                      <w:b/>
                      <w:sz w:val="16"/>
                      <w:szCs w:val="18"/>
                    </w:rPr>
                    <w:t>17</w:t>
                  </w:r>
                </w:p>
              </w:tc>
            </w:tr>
            <w:tr>
              <w:trPr>
                <w:trHeight w:val="373" w:hRule="atLeast"/>
              </w:trPr>
              <w:tc>
                <w:tcPr>
                  <w:tcW w:w="1014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vAlign w:val="center"/>
                </w:tcPr>
                <w:p>
                  <w:pPr>
                    <w:pStyle w:val="Normal"/>
                    <w:jc w:val="center"/>
                    <w:rPr>
                      <w:rFonts w:ascii="Arial" w:hAnsi="Arial" w:cs="Arial"/>
                      <w:b/>
                      <w:sz w:val="16"/>
                      <w:szCs w:val="18"/>
                    </w:rPr>
                  </w:pPr>
                  <w:r>
                    <w:rPr>
                      <w:rFonts w:cs="Arial" w:ascii="Arial" w:hAnsi="Arial"/>
                      <w:b/>
                      <w:sz w:val="16"/>
                      <w:szCs w:val="18"/>
                    </w:rPr>
                  </w:r>
                </w:p>
              </w:tc>
              <w:tc>
                <w:tcPr>
                  <w:tcW w:w="1009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vAlign w:val="center"/>
                </w:tcPr>
                <w:p>
                  <w:pPr>
                    <w:pStyle w:val="Normal"/>
                    <w:jc w:val="center"/>
                    <w:rPr>
                      <w:rFonts w:ascii="Arial" w:hAnsi="Arial" w:cs="Arial"/>
                      <w:b/>
                      <w:sz w:val="16"/>
                      <w:szCs w:val="18"/>
                    </w:rPr>
                  </w:pPr>
                  <w:r>
                    <w:rPr>
                      <w:rFonts w:cs="Arial" w:ascii="Arial" w:hAnsi="Arial"/>
                      <w:b/>
                      <w:sz w:val="16"/>
                      <w:szCs w:val="18"/>
                    </w:rPr>
                  </w:r>
                </w:p>
              </w:tc>
              <w:tc>
                <w:tcPr>
                  <w:tcW w:w="1016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vAlign w:val="center"/>
                </w:tcPr>
                <w:p>
                  <w:pPr>
                    <w:pStyle w:val="Normal"/>
                    <w:jc w:val="center"/>
                    <w:rPr>
                      <w:rFonts w:ascii="Arial" w:hAnsi="Arial" w:cs="Arial"/>
                      <w:b/>
                      <w:sz w:val="16"/>
                      <w:szCs w:val="18"/>
                    </w:rPr>
                  </w:pPr>
                  <w:r>
                    <w:rPr>
                      <w:rFonts w:cs="Arial" w:ascii="Arial" w:hAnsi="Arial"/>
                      <w:b/>
                      <w:sz w:val="16"/>
                      <w:szCs w:val="18"/>
                    </w:rPr>
                    <w:t>+ 1 pouvoir</w:t>
                  </w:r>
                </w:p>
              </w:tc>
            </w:tr>
          </w:tbl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tbl>
            <w:tblPr>
              <w:tblW w:w="3092" w:type="dxa"/>
              <w:jc w:val="start"/>
              <w:tblInd w:w="0" w:type="dxa"/>
              <w:tblLayout w:type="fixed"/>
              <w:tblCellMar>
                <w:top w:w="0" w:type="dxa"/>
                <w:start w:w="108" w:type="dxa"/>
                <w:bottom w:w="0" w:type="dxa"/>
                <w:end w:w="108" w:type="dxa"/>
              </w:tblCellMar>
              <w:tblLook w:firstRow="1" w:noVBand="0" w:lastRow="1" w:firstColumn="1" w:lastColumn="1" w:noHBand="0" w:val="01e0"/>
            </w:tblPr>
            <w:tblGrid>
              <w:gridCol w:w="3092"/>
            </w:tblGrid>
            <w:tr>
              <w:trPr>
                <w:trHeight w:val="555" w:hRule="atLeast"/>
              </w:trPr>
              <w:tc>
                <w:tcPr>
                  <w:tcW w:w="3092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Normal"/>
                    <w:spacing w:before="60" w:after="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cs="Arial" w:ascii="Arial" w:hAnsi="Arial"/>
                      <w:b/>
                      <w:sz w:val="16"/>
                      <w:szCs w:val="16"/>
                    </w:rPr>
                    <w:t>Date de convocation</w:t>
                  </w:r>
                </w:p>
                <w:p>
                  <w:pPr>
                    <w:pStyle w:val="Normal"/>
                    <w:spacing w:before="60"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cs="Arial" w:ascii="Arial" w:hAnsi="Arial"/>
                      <w:b/>
                      <w:sz w:val="16"/>
                      <w:szCs w:val="16"/>
                    </w:rPr>
                    <w:t>28 novembre 2025</w:t>
                  </w:r>
                </w:p>
              </w:tc>
            </w:tr>
          </w:tbl>
          <w:p>
            <w:pPr>
              <w:pStyle w:val="Normal"/>
              <w:rPr/>
            </w:pPr>
            <w:r>
              <w:rPr/>
            </w:r>
          </w:p>
        </w:tc>
        <w:tc>
          <w:tcPr>
            <w:tcW w:w="276" w:type="dxa"/>
            <w:tcBorders>
              <w:top w:val="nil"/>
              <w:start w:val="nil"/>
              <w:bottom w:val="nil"/>
              <w:end w:val="nil"/>
            </w:tcBorders>
          </w:tcPr>
          <w:p>
            <w:pPr>
              <w:pStyle w:val="Normal"/>
              <w:widowControl/>
              <w:spacing w:before="0" w:after="0"/>
              <w:jc w:val="start"/>
              <w:rPr>
                <w:rFonts w:ascii="Times New Roman" w:hAnsi="Times New Roman" w:eastAsia="Times New Roman" w:cs="Times New Roman"/>
                <w:kern w:val="0"/>
                <w:lang w:val="fr-FR" w:eastAsia="fr-FR" w:bidi="ar-SA"/>
              </w:rPr>
            </w:pPr>
            <w:r>
              <w:rPr>
                <w:rFonts w:eastAsia="Times New Roman" w:cs="Times New Roman"/>
                <w:kern w:val="0"/>
                <w:lang w:val="fr-FR" w:eastAsia="fr-FR" w:bidi="ar-SA"/>
              </w:rPr>
            </w:r>
          </w:p>
          <w:p>
            <w:pPr>
              <w:pStyle w:val="Normal"/>
              <w:widowControl/>
              <w:spacing w:before="0" w:after="0"/>
              <w:jc w:val="start"/>
              <w:rPr>
                <w:rFonts w:ascii="Times New Roman" w:hAnsi="Times New Roman" w:eastAsia="Times New Roman" w:cs="Times New Roman"/>
                <w:kern w:val="0"/>
                <w:lang w:val="fr-FR" w:eastAsia="fr-FR" w:bidi="ar-SA"/>
              </w:rPr>
            </w:pPr>
            <w:r>
              <w:rPr>
                <w:rFonts w:eastAsia="Times New Roman" w:cs="Times New Roman"/>
                <w:kern w:val="0"/>
                <w:lang w:val="fr-FR" w:eastAsia="fr-FR" w:bidi="ar-SA"/>
              </w:rPr>
            </w:r>
          </w:p>
          <w:p>
            <w:pPr>
              <w:pStyle w:val="Normal"/>
              <w:widowControl/>
              <w:spacing w:before="0" w:after="0"/>
              <w:jc w:val="start"/>
              <w:rPr>
                <w:rFonts w:ascii="Times New Roman" w:hAnsi="Times New Roman" w:eastAsia="Times New Roman" w:cs="Times New Roman"/>
                <w:kern w:val="0"/>
                <w:lang w:val="fr-FR" w:eastAsia="fr-FR" w:bidi="ar-SA"/>
              </w:rPr>
            </w:pPr>
            <w:r>
              <w:rPr>
                <w:rFonts w:eastAsia="Times New Roman" w:cs="Times New Roman"/>
                <w:kern w:val="0"/>
                <w:lang w:val="fr-FR" w:eastAsia="fr-FR" w:bidi="ar-SA"/>
              </w:rPr>
            </w:r>
          </w:p>
          <w:p>
            <w:pPr>
              <w:pStyle w:val="Normal"/>
              <w:widowControl/>
              <w:spacing w:before="0" w:after="0"/>
              <w:jc w:val="start"/>
              <w:rPr>
                <w:rFonts w:ascii="Times New Roman" w:hAnsi="Times New Roman" w:eastAsia="Times New Roman" w:cs="Times New Roman"/>
                <w:kern w:val="0"/>
                <w:lang w:val="fr-FR" w:eastAsia="fr-FR" w:bidi="ar-SA"/>
              </w:rPr>
            </w:pPr>
            <w:r>
              <w:rPr>
                <w:rFonts w:eastAsia="Times New Roman" w:cs="Times New Roman"/>
                <w:kern w:val="0"/>
                <w:lang w:val="fr-FR" w:eastAsia="fr-FR" w:bidi="ar-SA"/>
              </w:rPr>
            </w:r>
          </w:p>
          <w:p>
            <w:pPr>
              <w:pStyle w:val="Normal"/>
              <w:widowControl/>
              <w:spacing w:before="0" w:after="0"/>
              <w:jc w:val="start"/>
              <w:rPr>
                <w:rFonts w:ascii="Times New Roman" w:hAnsi="Times New Roman" w:eastAsia="Times New Roman" w:cs="Times New Roman"/>
                <w:kern w:val="0"/>
                <w:lang w:val="fr-FR" w:eastAsia="fr-FR" w:bidi="ar-SA"/>
              </w:rPr>
            </w:pPr>
            <w:r>
              <w:rPr>
                <w:rFonts w:eastAsia="Times New Roman" w:cs="Times New Roman"/>
                <w:kern w:val="0"/>
                <w:lang w:val="fr-FR" w:eastAsia="fr-FR" w:bidi="ar-SA"/>
              </w:rPr>
            </w:r>
          </w:p>
          <w:p>
            <w:pPr>
              <w:pStyle w:val="Normal"/>
              <w:widowControl/>
              <w:spacing w:before="0" w:after="0"/>
              <w:jc w:val="start"/>
              <w:rPr>
                <w:rFonts w:ascii="Times New Roman" w:hAnsi="Times New Roman" w:eastAsia="Times New Roman" w:cs="Times New Roman"/>
                <w:kern w:val="0"/>
                <w:lang w:val="fr-FR" w:eastAsia="fr-FR" w:bidi="ar-SA"/>
              </w:rPr>
            </w:pPr>
            <w:r>
              <w:rPr>
                <w:rFonts w:eastAsia="Times New Roman" w:cs="Times New Roman"/>
                <w:kern w:val="0"/>
                <w:lang w:val="fr-FR" w:eastAsia="fr-FR" w:bidi="ar-SA"/>
              </w:rPr>
            </w:r>
          </w:p>
        </w:tc>
        <w:tc>
          <w:tcPr>
            <w:tcW w:w="5724" w:type="dxa"/>
            <w:tcBorders>
              <w:top w:val="nil"/>
              <w:start w:val="nil"/>
              <w:bottom w:val="nil"/>
              <w:end w:val="nil"/>
            </w:tcBorders>
          </w:tcPr>
          <w:p>
            <w:pPr>
              <w:pStyle w:val="Normal"/>
              <w:widowControl/>
              <w:spacing w:before="0" w:after="0"/>
              <w:jc w:val="both"/>
              <w:rPr>
                <w:rFonts w:ascii="Verdana" w:hAnsi="Verdana" w:cs="Courier New"/>
                <w:sz w:val="16"/>
                <w:szCs w:val="16"/>
              </w:rPr>
            </w:pPr>
            <w:r>
              <w:rPr>
                <w:rFonts w:eastAsia="Times New Roman" w:cs="Courier New" w:ascii="Verdana" w:hAnsi="Verdana"/>
                <w:kern w:val="0"/>
                <w:sz w:val="16"/>
                <w:szCs w:val="16"/>
                <w:lang w:val="fr-FR" w:eastAsia="fr-FR" w:bidi="ar-SA"/>
              </w:rPr>
              <w:t xml:space="preserve">L’an deux mille vingt-cinq, le cinq décembre à neuf heures quinze, le Comité syndical, régulièrement convoqué, s’est réuni au nombre prescrit par la loi, en Comité syndical, qui a eu lieu Parc Gouraud - 2 allée des Nobel (02200 Soissons) - Salle Ambassadeurs, sous la présidence de </w:t>
            </w:r>
            <w:r>
              <w:rPr>
                <w:rFonts w:eastAsia="Times New Roman" w:cs="Courier New" w:ascii="Verdana" w:hAnsi="Verdana"/>
                <w:b/>
                <w:kern w:val="0"/>
                <w:sz w:val="16"/>
                <w:szCs w:val="16"/>
                <w:lang w:val="fr-FR" w:eastAsia="fr-FR" w:bidi="ar-SA"/>
              </w:rPr>
              <w:t>Alain CREMONT</w:t>
            </w:r>
            <w:r>
              <w:rPr>
                <w:rFonts w:eastAsia="Times New Roman" w:cs="Courier New" w:ascii="Verdana" w:hAnsi="Verdana"/>
                <w:kern w:val="0"/>
                <w:sz w:val="16"/>
                <w:szCs w:val="16"/>
                <w:lang w:val="fr-FR" w:eastAsia="fr-FR" w:bidi="ar-SA"/>
              </w:rPr>
              <w:t>, Président.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Verdana" w:hAnsi="Verdana" w:cs="Courier New"/>
                <w:sz w:val="16"/>
                <w:szCs w:val="16"/>
              </w:rPr>
            </w:pPr>
            <w:r>
              <w:rPr>
                <w:rFonts w:eastAsia="Times New Roman" w:cs="Courier New" w:ascii="Verdana" w:hAnsi="Verdana"/>
                <w:kern w:val="0"/>
                <w:sz w:val="16"/>
                <w:szCs w:val="16"/>
                <w:lang w:val="fr-FR" w:eastAsia="fr-FR" w:bidi="ar-SA"/>
              </w:rPr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Verdana" w:hAnsi="Verdana" w:cs="Courier New"/>
                <w:b/>
                <w:sz w:val="16"/>
                <w:szCs w:val="16"/>
              </w:rPr>
            </w:pPr>
            <w:r>
              <w:rPr>
                <w:rFonts w:eastAsia="Times New Roman" w:cs="Courier New" w:ascii="Verdana" w:hAnsi="Verdana"/>
                <w:kern w:val="0"/>
                <w:sz w:val="16"/>
                <w:szCs w:val="16"/>
                <w:u w:val="single"/>
                <w:lang w:val="fr-FR" w:eastAsia="fr-FR" w:bidi="ar-SA"/>
              </w:rPr>
              <w:t>Présents</w:t>
            </w:r>
            <w:r>
              <w:rPr>
                <w:rFonts w:eastAsia="Times New Roman" w:cs="Courier New" w:ascii="Verdana" w:hAnsi="Verdana"/>
                <w:kern w:val="0"/>
                <w:sz w:val="16"/>
                <w:szCs w:val="16"/>
                <w:lang w:val="fr-FR" w:eastAsia="fr-FR" w:bidi="ar-SA"/>
              </w:rPr>
              <w:t xml:space="preserve"> : </w:t>
            </w:r>
            <w:r>
              <w:rPr>
                <w:rFonts w:eastAsia="Times New Roman" w:cs="Courier New" w:ascii="Verdana" w:hAnsi="Verdana"/>
                <w:b/>
                <w:kern w:val="0"/>
                <w:sz w:val="16"/>
                <w:szCs w:val="16"/>
                <w:lang w:val="fr-FR" w:eastAsia="fr-FR" w:bidi="ar-SA"/>
              </w:rPr>
              <w:t>Marcel BOMBART, Dominique BONNAUD, Franck BRIFFAUT, Alain COLPART, Alain CREMONT, Gilles DAVALAN, Alexandre de MONTESQUIOU, Alex DESUMEUR, Patrick DUFOUR, Marie-Claude LAINE, Loïc LALYS, Hervé MUZART, Ginette PLATRIER, Nicolas REBEROT, Thierry ROUTIER, Jean-Luc SAMIER, Pascal TORDEUX.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Verdana" w:hAnsi="Verdana" w:cs="Courier New"/>
                <w:sz w:val="16"/>
                <w:szCs w:val="16"/>
              </w:rPr>
            </w:pPr>
            <w:r>
              <w:rPr>
                <w:rFonts w:eastAsia="Times New Roman" w:cs="Courier New" w:ascii="Verdana" w:hAnsi="Verdana"/>
                <w:kern w:val="0"/>
                <w:sz w:val="16"/>
                <w:szCs w:val="16"/>
                <w:lang w:val="fr-FR" w:eastAsia="fr-FR" w:bidi="ar-SA"/>
              </w:rPr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Verdana" w:hAnsi="Verdana" w:cs="Courier New"/>
                <w:b/>
                <w:sz w:val="16"/>
                <w:szCs w:val="16"/>
              </w:rPr>
            </w:pPr>
            <w:r>
              <w:rPr>
                <w:rFonts w:eastAsia="Times New Roman" w:cs="Courier New" w:ascii="Verdana" w:hAnsi="Verdana"/>
                <w:kern w:val="0"/>
                <w:sz w:val="16"/>
                <w:szCs w:val="16"/>
                <w:u w:val="single"/>
                <w:lang w:val="fr-FR" w:eastAsia="fr-FR" w:bidi="ar-SA"/>
              </w:rPr>
              <w:t>Absents</w:t>
            </w:r>
            <w:r>
              <w:rPr>
                <w:rFonts w:eastAsia="Times New Roman" w:cs="Courier New" w:ascii="Verdana" w:hAnsi="Verdana"/>
                <w:kern w:val="0"/>
                <w:sz w:val="16"/>
                <w:szCs w:val="16"/>
                <w:lang w:val="fr-FR" w:eastAsia="fr-FR" w:bidi="ar-SA"/>
              </w:rPr>
              <w:t xml:space="preserve"> : </w:t>
            </w:r>
            <w:r>
              <w:rPr>
                <w:rFonts w:eastAsia="Times New Roman" w:cs="Courier New" w:ascii="Verdana" w:hAnsi="Verdana"/>
                <w:b/>
                <w:kern w:val="0"/>
                <w:sz w:val="16"/>
                <w:szCs w:val="16"/>
                <w:lang w:val="fr-FR" w:eastAsia="fr-FR" w:bidi="ar-SA"/>
              </w:rPr>
              <w:t>Arnaud BATTEFORT, Jean-Pascal BERSON, Yveline DELVAL, Christian DEULCEUX, Séverine PELLETIER, Olivier ENGRAND, Philippe MONTARON.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Verdana" w:hAnsi="Verdana" w:cs="Courier New"/>
                <w:b/>
                <w:sz w:val="16"/>
                <w:szCs w:val="16"/>
              </w:rPr>
            </w:pPr>
            <w:r>
              <w:rPr>
                <w:rFonts w:eastAsia="Times New Roman" w:cs="Courier New" w:ascii="Verdana" w:hAnsi="Verdana"/>
                <w:b/>
                <w:kern w:val="0"/>
                <w:sz w:val="16"/>
                <w:szCs w:val="16"/>
                <w:lang w:val="fr-FR" w:eastAsia="fr-FR" w:bidi="ar-SA"/>
              </w:rPr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Verdana" w:hAnsi="Verdana" w:cs="Courier New"/>
                <w:b/>
                <w:sz w:val="16"/>
                <w:szCs w:val="16"/>
              </w:rPr>
            </w:pPr>
            <w:r>
              <w:rPr>
                <w:rFonts w:eastAsia="Times New Roman" w:cs="Courier New" w:ascii="Verdana" w:hAnsi="Verdana"/>
                <w:kern w:val="0"/>
                <w:sz w:val="16"/>
                <w:szCs w:val="16"/>
                <w:u w:val="single"/>
                <w:lang w:val="fr-FR" w:eastAsia="fr-FR" w:bidi="ar-SA"/>
              </w:rPr>
              <w:t>Représentés</w:t>
            </w:r>
            <w:r>
              <w:rPr>
                <w:rFonts w:eastAsia="Times New Roman" w:cs="Courier New" w:ascii="Verdana" w:hAnsi="Verdana"/>
                <w:kern w:val="0"/>
                <w:sz w:val="16"/>
                <w:szCs w:val="16"/>
                <w:lang w:val="fr-FR" w:eastAsia="fr-FR" w:bidi="ar-SA"/>
              </w:rPr>
              <w:t xml:space="preserve"> : </w:t>
            </w:r>
            <w:r>
              <w:rPr>
                <w:rFonts w:eastAsia="Times New Roman" w:cs="Courier New" w:ascii="Verdana" w:hAnsi="Verdana"/>
                <w:b/>
                <w:kern w:val="0"/>
                <w:sz w:val="16"/>
                <w:szCs w:val="16"/>
                <w:lang w:val="fr-FR" w:eastAsia="fr-FR" w:bidi="ar-SA"/>
              </w:rPr>
              <w:t>Céline LEFRERE pouvoir donné à Alexandre de MONTESQUIOU, Marina CARETTE titulaire de Jean-Luc SAMIER, Jean-Luc NICOLAS titulaire de Alain COLPART, François RAMPELBERG titulaire de Marie-Claude LAINE.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Verdana" w:hAnsi="Verdana" w:cs="Courier New"/>
                <w:b/>
                <w:sz w:val="16"/>
                <w:szCs w:val="16"/>
              </w:rPr>
            </w:pPr>
            <w:r>
              <w:rPr>
                <w:rFonts w:eastAsia="Times New Roman" w:cs="Courier New" w:ascii="Verdana" w:hAnsi="Verdana"/>
                <w:b/>
                <w:kern w:val="0"/>
                <w:sz w:val="16"/>
                <w:szCs w:val="16"/>
                <w:lang w:val="fr-FR" w:eastAsia="fr-FR" w:bidi="ar-SA"/>
              </w:rPr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Verdana" w:hAnsi="Verdana" w:cs="Courier New"/>
                <w:b/>
                <w:sz w:val="16"/>
                <w:szCs w:val="16"/>
              </w:rPr>
            </w:pPr>
            <w:r>
              <w:rPr>
                <w:rFonts w:eastAsia="Times New Roman" w:cs="Courier New" w:ascii="Verdana" w:hAnsi="Verdana"/>
                <w:b/>
                <w:kern w:val="0"/>
                <w:sz w:val="16"/>
                <w:szCs w:val="16"/>
                <w:lang w:val="fr-FR" w:eastAsia="fr-FR" w:bidi="ar-SA"/>
              </w:rPr>
              <w:t>Madame Marie-Claude LAINE</w:t>
            </w:r>
            <w:r>
              <w:rPr>
                <w:rFonts w:eastAsia="Times New Roman" w:cs="Courier New" w:ascii="Verdana" w:hAnsi="Verdana"/>
                <w:kern w:val="0"/>
                <w:sz w:val="16"/>
                <w:szCs w:val="16"/>
                <w:lang w:val="fr-FR" w:eastAsia="fr-FR" w:bidi="ar-SA"/>
              </w:rPr>
              <w:t xml:space="preserve"> a été nommée secrétaire de séance.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Objet : Délibération 22 - Avis PLUi CCCOC</w:t>
      </w:r>
    </w:p>
    <w:p>
      <w:pPr>
        <w:pStyle w:val="Normal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N° de délibération : 2025_22</w:t>
      </w:r>
    </w:p>
    <w:p>
      <w:pPr>
        <w:pStyle w:val="Normal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tbl>
      <w:tblPr>
        <w:tblStyle w:val="NormalTablePHPDOCX0"/>
        <w:tblW w:w="5000" w:type="pct"/>
        <w:jc w:val="start"/>
        <w:tblInd w:w="15" w:type="dxa"/>
        <w:tblLayout w:type="fixed"/>
        <w:tblCellMar>
          <w:top w:w="15" w:type="dxa"/>
          <w:start w:w="15" w:type="dxa"/>
          <w:bottom w:w="15" w:type="dxa"/>
          <w:end w:w="15" w:type="dxa"/>
        </w:tblCellMar>
        <w:tblLook w:firstRow="1" w:noVBand="1" w:lastRow="0" w:firstColumn="1" w:lastColumn="0" w:noHBand="0" w:val="04a0"/>
      </w:tblPr>
      <w:tblGrid>
        <w:gridCol w:w="1573"/>
        <w:gridCol w:w="1574"/>
        <w:gridCol w:w="1481"/>
        <w:gridCol w:w="1481"/>
        <w:gridCol w:w="1480"/>
        <w:gridCol w:w="1481"/>
      </w:tblGrid>
      <w:tr>
        <w:trPr/>
        <w:tc>
          <w:tcPr>
            <w:tcW w:w="157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8E8E8" w:val="clear"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i/>
                <w:iCs/>
                <w:color w:val="000000"/>
                <w:kern w:val="0"/>
                <w:position w:val="-3"/>
                <w:sz w:val="20"/>
                <w:szCs w:val="20"/>
                <w:shd w:fill="E8E8E8" w:val="clear"/>
                <w:lang w:val="fr-FR" w:eastAsia="fr-FR" w:bidi="ar-SA"/>
              </w:rPr>
              <w:t>Conseillers présents</w:t>
            </w:r>
          </w:p>
        </w:tc>
        <w:tc>
          <w:tcPr>
            <w:tcW w:w="157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8E8E8" w:val="clear"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i/>
                <w:iCs/>
                <w:color w:val="000000"/>
                <w:kern w:val="0"/>
                <w:position w:val="-3"/>
                <w:sz w:val="20"/>
                <w:szCs w:val="20"/>
                <w:shd w:fill="E8E8E8" w:val="clear"/>
                <w:lang w:val="fr-FR" w:eastAsia="fr-FR" w:bidi="ar-SA"/>
              </w:rPr>
              <w:t>Suffrages exprimés avec pouvoir</w:t>
            </w:r>
          </w:p>
        </w:tc>
        <w:tc>
          <w:tcPr>
            <w:tcW w:w="14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8E8E8" w:val="clear"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i/>
                <w:iCs/>
                <w:color w:val="000000"/>
                <w:kern w:val="0"/>
                <w:position w:val="-3"/>
                <w:sz w:val="20"/>
                <w:szCs w:val="20"/>
                <w:shd w:fill="E8E8E8" w:val="clear"/>
                <w:lang w:val="fr-FR" w:eastAsia="fr-FR" w:bidi="ar-SA"/>
              </w:rPr>
              <w:t>Pour</w:t>
            </w:r>
          </w:p>
        </w:tc>
        <w:tc>
          <w:tcPr>
            <w:tcW w:w="14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8E8E8" w:val="clear"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i/>
                <w:iCs/>
                <w:color w:val="000000"/>
                <w:kern w:val="0"/>
                <w:position w:val="-3"/>
                <w:sz w:val="20"/>
                <w:szCs w:val="20"/>
                <w:shd w:fill="E8E8E8" w:val="clear"/>
                <w:lang w:val="fr-FR" w:eastAsia="fr-FR" w:bidi="ar-SA"/>
              </w:rPr>
              <w:t>Contre</w:t>
            </w:r>
          </w:p>
        </w:tc>
        <w:tc>
          <w:tcPr>
            <w:tcW w:w="14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8E8E8" w:val="clear"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i/>
                <w:iCs/>
                <w:color w:val="000000"/>
                <w:kern w:val="0"/>
                <w:position w:val="-3"/>
                <w:sz w:val="20"/>
                <w:szCs w:val="20"/>
                <w:shd w:fill="E8E8E8" w:val="clear"/>
                <w:lang w:val="fr-FR" w:eastAsia="fr-FR" w:bidi="ar-SA"/>
              </w:rPr>
              <w:t>Abstention</w:t>
            </w:r>
          </w:p>
        </w:tc>
        <w:tc>
          <w:tcPr>
            <w:tcW w:w="14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8E8E8" w:val="clear"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i/>
                <w:iCs/>
                <w:color w:val="000000"/>
                <w:kern w:val="0"/>
                <w:position w:val="-3"/>
                <w:sz w:val="20"/>
                <w:szCs w:val="20"/>
                <w:shd w:fill="E8E8E8" w:val="clear"/>
                <w:lang w:val="fr-FR" w:eastAsia="fr-FR" w:bidi="ar-SA"/>
              </w:rPr>
              <w:t>Non participant</w:t>
            </w:r>
          </w:p>
        </w:tc>
      </w:tr>
      <w:tr>
        <w:trPr/>
        <w:tc>
          <w:tcPr>
            <w:tcW w:w="157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100" w:type="dxa"/>
              <w:bottom w:w="100" w:type="dxa"/>
            </w:tcMar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i/>
                <w:iCs/>
                <w:color w:val="000000"/>
                <w:kern w:val="0"/>
                <w:position w:val="-3"/>
                <w:sz w:val="20"/>
                <w:szCs w:val="20"/>
                <w:lang w:val="fr-FR" w:eastAsia="fr-FR" w:bidi="ar-SA"/>
              </w:rPr>
              <w:t>17</w:t>
            </w:r>
          </w:p>
        </w:tc>
        <w:tc>
          <w:tcPr>
            <w:tcW w:w="157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100" w:type="dxa"/>
              <w:bottom w:w="40" w:type="dxa"/>
            </w:tcMar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i/>
                <w:iCs/>
                <w:color w:val="000000"/>
                <w:kern w:val="0"/>
                <w:position w:val="-3"/>
                <w:sz w:val="20"/>
                <w:szCs w:val="20"/>
                <w:lang w:val="fr-FR" w:eastAsia="fr-FR" w:bidi="ar-SA"/>
              </w:rPr>
              <w:t>1</w:t>
            </w:r>
          </w:p>
        </w:tc>
        <w:tc>
          <w:tcPr>
            <w:tcW w:w="14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100" w:type="dxa"/>
              <w:bottom w:w="100" w:type="dxa"/>
            </w:tcMar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i/>
                <w:iCs/>
                <w:color w:val="000000"/>
                <w:kern w:val="0"/>
                <w:position w:val="-3"/>
                <w:sz w:val="20"/>
                <w:szCs w:val="20"/>
                <w:lang w:val="fr-FR" w:eastAsia="fr-FR" w:bidi="ar-SA"/>
              </w:rPr>
              <w:t>13</w:t>
            </w:r>
          </w:p>
        </w:tc>
        <w:tc>
          <w:tcPr>
            <w:tcW w:w="14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100" w:type="dxa"/>
              <w:bottom w:w="100" w:type="dxa"/>
            </w:tcMar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i/>
                <w:iCs/>
                <w:color w:val="000000"/>
                <w:kern w:val="0"/>
                <w:position w:val="-3"/>
                <w:sz w:val="20"/>
                <w:szCs w:val="20"/>
                <w:lang w:val="fr-FR" w:eastAsia="fr-FR" w:bidi="ar-SA"/>
              </w:rPr>
              <w:t>0</w:t>
            </w:r>
          </w:p>
        </w:tc>
        <w:tc>
          <w:tcPr>
            <w:tcW w:w="14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100" w:type="dxa"/>
              <w:bottom w:w="100" w:type="dxa"/>
            </w:tcMar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i/>
                <w:iCs/>
                <w:color w:val="000000"/>
                <w:kern w:val="0"/>
                <w:position w:val="-3"/>
                <w:sz w:val="20"/>
                <w:szCs w:val="20"/>
                <w:lang w:val="fr-FR" w:eastAsia="fr-FR" w:bidi="ar-SA"/>
              </w:rPr>
              <w:t>5</w:t>
            </w:r>
          </w:p>
        </w:tc>
        <w:tc>
          <w:tcPr>
            <w:tcW w:w="14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100" w:type="dxa"/>
              <w:bottom w:w="100" w:type="dxa"/>
            </w:tcMar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i/>
                <w:iCs/>
                <w:color w:val="000000"/>
                <w:kern w:val="0"/>
                <w:position w:val="-3"/>
                <w:sz w:val="20"/>
                <w:szCs w:val="20"/>
                <w:lang w:val="fr-FR" w:eastAsia="fr-FR" w:bidi="ar-SA"/>
              </w:rPr>
              <w:t>0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spacing w:before="240" w:after="240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Avis du Comité syndical du PETR du Soissonnais et du Valois sur l’arrêt du projet de PLUi de la Communauté de communes du Canton d’Oulchy-le-Château (CCCOC)</w:t>
      </w:r>
    </w:p>
    <w:p>
      <w:pPr>
        <w:pStyle w:val="Normal"/>
        <w:rPr/>
      </w:pPr>
      <w:r>
        <w:rPr/>
        <mc:AlternateContent>
          <mc:Choice Requires="wps">
            <w:drawing>
              <wp:inline distT="0" distB="0" distL="0" distR="0">
                <wp:extent cx="635" cy="19050"/>
                <wp:effectExtent l="0" t="0" r="0" b="0"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2" name=""/>
                        <wps:cNvSpPr/>
                      </wps:nvSpPr>
                      <wps:spPr>
                        <a:xfrm>
                          <a:off x="0" y="0"/>
                          <a:ext cx="720" cy="19080"/>
                        </a:xfrm>
                        <a:prstGeom prst="rect">
                          <a:avLst/>
                        </a:prstGeom>
                        <a:solidFill>
                          <a:srgbClr val="aca899"/>
                        </a:solidFill>
                        <a:ln w="0">
                          <a:noFill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shape_0" fillcolor="#aca899" stroked="f" o:allowincell="f" style="position:absolute;margin-left:0pt;margin-top:-1.55pt;width:0pt;height:1.45pt;mso-wrap-style:none;v-text-anchor:middle;mso-position-horizontal:center;mso-position-vertical:top">
                <v:fill o:detectmouseclick="t" type="solid" color2="#535766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Normal"/>
        <w:spacing w:before="240" w:after="240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VU</w:t>
      </w:r>
    </w:p>
    <w:p>
      <w:pPr>
        <w:pStyle w:val="Normal"/>
        <w:numPr>
          <w:ilvl w:val="0"/>
          <w:numId w:val="1"/>
        </w:numPr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>Le Code de l’Urbanisme, et notamment ses articles L.151-5 et L.153-15 à L.153-19 relatifs aux procédures d’élaboration et d’arrêt des PLUi ;</w:t>
      </w:r>
    </w:p>
    <w:p>
      <w:pPr>
        <w:pStyle w:val="Normal"/>
        <w:numPr>
          <w:ilvl w:val="0"/>
          <w:numId w:val="1"/>
        </w:numPr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>La délibération du 7 décembre 2022 par laquelle la CCCOC a prescrit l’élaboration de son PLUi ;</w:t>
      </w:r>
    </w:p>
    <w:p>
      <w:pPr>
        <w:pStyle w:val="Normal"/>
        <w:numPr>
          <w:ilvl w:val="0"/>
          <w:numId w:val="1"/>
        </w:numPr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>La délibération du Conseil communautaire arrêtant le projet de PLUi ;</w:t>
      </w:r>
    </w:p>
    <w:p>
      <w:pPr>
        <w:pStyle w:val="Normal"/>
        <w:numPr>
          <w:ilvl w:val="0"/>
          <w:numId w:val="1"/>
        </w:numPr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>Les pièces du dossier arrêté : rapport de présentation, PADD, règlement, OAP et annexes ;</w:t>
      </w:r>
    </w:p>
    <w:p>
      <w:pPr>
        <w:pStyle w:val="Normal"/>
        <w:numPr>
          <w:ilvl w:val="0"/>
          <w:numId w:val="1"/>
        </w:numPr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>Le SCOT du Canton d’Oulchy-le-Château, actuellement en vigueur ;</w:t>
      </w:r>
    </w:p>
    <w:p>
      <w:pPr>
        <w:pStyle w:val="Normal"/>
        <w:numPr>
          <w:ilvl w:val="0"/>
          <w:numId w:val="1"/>
        </w:numPr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>L’état d’avancement du SCOT du Soissonnais–Valois, en cours d’élaboration et non opposable.</w:t>
      </w:r>
    </w:p>
    <w:p>
      <w:pPr>
        <w:pStyle w:val="Normal"/>
        <w:rPr/>
      </w:pPr>
      <w:r>
        <w:rPr/>
        <mc:AlternateContent>
          <mc:Choice Requires="wps">
            <w:drawing>
              <wp:inline distT="0" distB="0" distL="0" distR="0">
                <wp:extent cx="635" cy="19050"/>
                <wp:effectExtent l="0" t="0" r="0" b="0"/>
                <wp:docPr id="3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4" name=""/>
                        <wps:cNvSpPr/>
                      </wps:nvSpPr>
                      <wps:spPr>
                        <a:xfrm>
                          <a:off x="0" y="0"/>
                          <a:ext cx="720" cy="19080"/>
                        </a:xfrm>
                        <a:prstGeom prst="rect">
                          <a:avLst/>
                        </a:prstGeom>
                        <a:solidFill>
                          <a:srgbClr val="aca899"/>
                        </a:solidFill>
                        <a:ln w="0">
                          <a:noFill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shape_0" fillcolor="#aca899" stroked="f" o:allowincell="f" style="position:absolute;margin-left:0pt;margin-top:-1.55pt;width:0pt;height:1.45pt;mso-wrap-style:none;v-text-anchor:middle;mso-position-horizontal:center;mso-position-vertical:top">
                <v:fill o:detectmouseclick="t" type="solid" color2="#535766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Normal"/>
        <w:spacing w:before="240" w:after="240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CONSIDÉRANT</w:t>
      </w:r>
    </w:p>
    <w:p>
      <w:pPr>
        <w:pStyle w:val="Normal"/>
        <w:numPr>
          <w:ilvl w:val="0"/>
          <w:numId w:val="1"/>
        </w:numPr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>Que le PLUi constitue l’outil de planification destiné à encadrer l’aménagement du territoire de la CCCOC à l’horizon 2040 ;</w:t>
      </w:r>
    </w:p>
    <w:p>
      <w:pPr>
        <w:pStyle w:val="Normal"/>
        <w:numPr>
          <w:ilvl w:val="0"/>
          <w:numId w:val="1"/>
        </w:numPr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>Que, conformément à la réglementation, le PETR est sollicité pour avis sur le projet arrêté ;</w:t>
      </w:r>
    </w:p>
    <w:p>
      <w:pPr>
        <w:pStyle w:val="Normal"/>
        <w:numPr>
          <w:ilvl w:val="0"/>
          <w:numId w:val="1"/>
        </w:numPr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>Que le territoire présente une structure rurale, une démographie fragile et un tissu économique limité, nécessitant une gestion proportionnée de la consommation foncière ;</w:t>
      </w:r>
    </w:p>
    <w:p>
      <w:pPr>
        <w:pStyle w:val="Normal"/>
        <w:numPr>
          <w:ilvl w:val="0"/>
          <w:numId w:val="1"/>
        </w:numPr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>Que le projet arrêté mobilise une consommation foncière limitée à </w:t>
      </w:r>
      <w:r>
        <w:rPr>
          <w:rFonts w:cs="Arial" w:ascii="Verdana" w:hAnsi="Verdana"/>
          <w:b/>
          <w:bCs/>
          <w:color w:val="000000"/>
          <w:sz w:val="20"/>
          <w:szCs w:val="20"/>
        </w:rPr>
        <w:t>17 ha sur 15 ans</w:t>
      </w:r>
      <w:r>
        <w:rPr>
          <w:rFonts w:cs="Arial" w:ascii="Verdana" w:hAnsi="Verdana"/>
          <w:color w:val="000000"/>
          <w:sz w:val="20"/>
          <w:szCs w:val="20"/>
        </w:rPr>
        <w:t>, toutes vocations confondues, en cohérence avec les objectifs du PADD ;</w:t>
      </w:r>
    </w:p>
    <w:p>
      <w:pPr>
        <w:pStyle w:val="Normal"/>
        <w:numPr>
          <w:ilvl w:val="0"/>
          <w:numId w:val="1"/>
        </w:numPr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>Que le PLUi doit être compatible avec le SCOT en vigueur et prendre en considération le SCOT en cours d’élaboration.</w:t>
      </w:r>
    </w:p>
    <w:p>
      <w:pPr>
        <w:pStyle w:val="Normal"/>
        <w:rPr/>
      </w:pPr>
      <w:r>
        <w:rPr/>
        <mc:AlternateContent>
          <mc:Choice Requires="wps">
            <w:drawing>
              <wp:inline distT="0" distB="0" distL="0" distR="0">
                <wp:extent cx="635" cy="19050"/>
                <wp:effectExtent l="0" t="0" r="0" b="0"/>
                <wp:docPr id="5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6" name=""/>
                        <wps:cNvSpPr/>
                      </wps:nvSpPr>
                      <wps:spPr>
                        <a:xfrm>
                          <a:off x="0" y="0"/>
                          <a:ext cx="720" cy="19080"/>
                        </a:xfrm>
                        <a:prstGeom prst="rect">
                          <a:avLst/>
                        </a:prstGeom>
                        <a:solidFill>
                          <a:srgbClr val="aca899"/>
                        </a:solidFill>
                        <a:ln w="0">
                          <a:noFill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shape_0" fillcolor="#aca899" stroked="f" o:allowincell="f" style="position:absolute;margin-left:0pt;margin-top:-1.55pt;width:0pt;height:1.45pt;mso-wrap-style:none;v-text-anchor:middle;mso-position-horizontal:center;mso-position-vertical:top">
                <v:fill o:detectmouseclick="t" type="solid" color2="#535766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Normal"/>
        <w:spacing w:before="240" w:after="240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ÉLÉMENTS RELATIFS AU PROJET ARRÊTÉ</w:t>
      </w:r>
    </w:p>
    <w:p>
      <w:pPr>
        <w:pStyle w:val="Normal"/>
        <w:spacing w:before="240" w:after="240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1. Habitat et organisation scolaire</w:t>
      </w:r>
    </w:p>
    <w:p>
      <w:pPr>
        <w:pStyle w:val="Normal"/>
        <w:spacing w:before="240" w:after="240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>Le projet de PLUi identifie 4 secteurs 1AU, représentant 3,6 ha d’ouverture à l’urbanisation à Hartennes, Oulchy-le-Château et Parcy-et-Tigny. Ces secteurs visent à assurer une capacité d’accueil permettant de pérenniser les trois dernières écoles du territoire.</w:t>
      </w:r>
    </w:p>
    <w:p>
      <w:pPr>
        <w:pStyle w:val="Normal"/>
        <w:spacing w:before="240" w:after="240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>Ces secteurs sont complétés par :</w:t>
      </w:r>
    </w:p>
    <w:p>
      <w:pPr>
        <w:pStyle w:val="Normal"/>
        <w:numPr>
          <w:ilvl w:val="0"/>
          <w:numId w:val="1"/>
        </w:numPr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>2,7 ha de zones de renouvellement urbain identifiées dans l’OAP « Densité », concernant </w:t>
      </w:r>
      <w:r>
        <w:rPr>
          <w:rFonts w:cs="Arial" w:ascii="Verdana" w:hAnsi="Verdana"/>
          <w:b/>
          <w:bCs/>
          <w:color w:val="000000"/>
          <w:sz w:val="20"/>
          <w:szCs w:val="20"/>
        </w:rPr>
        <w:t>11 communes sur les 23 restantes</w:t>
      </w:r>
      <w:r>
        <w:rPr>
          <w:rFonts w:cs="Arial" w:ascii="Verdana" w:hAnsi="Verdana"/>
          <w:color w:val="000000"/>
          <w:sz w:val="20"/>
          <w:szCs w:val="20"/>
        </w:rPr>
        <w:t> ;</w:t>
      </w:r>
    </w:p>
    <w:p>
      <w:pPr>
        <w:pStyle w:val="Normal"/>
        <w:numPr>
          <w:ilvl w:val="0"/>
          <w:numId w:val="1"/>
        </w:numPr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>0,9 ha de STECAL en zone Naturelle à Oulchy-le-Château destinés à un projet touristique identifié.</w:t>
      </w:r>
    </w:p>
    <w:p>
      <w:pPr>
        <w:pStyle w:val="Normal"/>
        <w:rPr/>
      </w:pPr>
      <w:r>
        <w:rPr/>
        <mc:AlternateContent>
          <mc:Choice Requires="wps">
            <w:drawing>
              <wp:inline distT="0" distB="0" distL="0" distR="0">
                <wp:extent cx="635" cy="19050"/>
                <wp:effectExtent l="0" t="0" r="0" b="0"/>
                <wp:docPr id="7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8" name=""/>
                        <wps:cNvSpPr/>
                      </wps:nvSpPr>
                      <wps:spPr>
                        <a:xfrm>
                          <a:off x="0" y="0"/>
                          <a:ext cx="720" cy="19080"/>
                        </a:xfrm>
                        <a:prstGeom prst="rect">
                          <a:avLst/>
                        </a:prstGeom>
                        <a:solidFill>
                          <a:srgbClr val="aca899"/>
                        </a:solidFill>
                        <a:ln w="0">
                          <a:noFill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shape_0" fillcolor="#aca899" stroked="f" o:allowincell="f" style="position:absolute;margin-left:0pt;margin-top:-1.55pt;width:0pt;height:1.45pt;mso-wrap-style:none;v-text-anchor:middle;mso-position-horizontal:center;mso-position-vertical:top">
                <v:fill o:detectmouseclick="t" type="solid" color2="#535766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Normal"/>
        <w:spacing w:before="240" w:after="240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2. Développement économique</w:t>
      </w:r>
    </w:p>
    <w:p>
      <w:pPr>
        <w:pStyle w:val="Normal"/>
        <w:spacing w:before="240" w:after="240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>Le PLUi prévoit trois zones 1AUE, totalisant 9,7 ha, destinées à accompagner le développement du tissu économique local :</w:t>
      </w:r>
    </w:p>
    <w:p>
      <w:pPr>
        <w:pStyle w:val="Normal"/>
        <w:numPr>
          <w:ilvl w:val="0"/>
          <w:numId w:val="1"/>
        </w:numPr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Hartennes-et-Taux : 0,99 ha</w:t>
      </w:r>
      <w:r>
        <w:rPr>
          <w:rFonts w:cs="Arial" w:ascii="Verdana" w:hAnsi="Verdana"/>
          <w:color w:val="000000"/>
          <w:sz w:val="20"/>
          <w:szCs w:val="20"/>
        </w:rPr>
        <w:t>, permettant l’extension de la zone d’activité existante, aujourd’hui saturée ;</w:t>
      </w:r>
    </w:p>
    <w:p>
      <w:pPr>
        <w:pStyle w:val="Normal"/>
        <w:numPr>
          <w:ilvl w:val="0"/>
          <w:numId w:val="1"/>
        </w:numPr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Oulchy-le-Château : 2,74 ha</w:t>
      </w:r>
      <w:r>
        <w:rPr>
          <w:rFonts w:cs="Arial" w:ascii="Verdana" w:hAnsi="Verdana"/>
          <w:color w:val="000000"/>
          <w:sz w:val="20"/>
          <w:szCs w:val="20"/>
        </w:rPr>
        <w:t>, destinés à l’accueil ou à l’extension d’activités, notamment l’entreprise TP Maron ;</w:t>
      </w:r>
    </w:p>
    <w:p>
      <w:pPr>
        <w:pStyle w:val="Normal"/>
        <w:numPr>
          <w:ilvl w:val="0"/>
          <w:numId w:val="1"/>
        </w:numPr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Cramaille : 5,97 ha</w:t>
      </w:r>
      <w:r>
        <w:rPr>
          <w:rFonts w:cs="Arial" w:ascii="Verdana" w:hAnsi="Verdana"/>
          <w:color w:val="000000"/>
          <w:sz w:val="20"/>
          <w:szCs w:val="20"/>
        </w:rPr>
        <w:t>, correspondant à l’extension sollicitée par l’entreprise SPDO, acteur local structurant.</w:t>
      </w:r>
    </w:p>
    <w:p>
      <w:pPr>
        <w:pStyle w:val="Normal"/>
        <w:rPr/>
      </w:pPr>
      <w:r>
        <w:rPr/>
        <mc:AlternateContent>
          <mc:Choice Requires="wps">
            <w:drawing>
              <wp:inline distT="0" distB="0" distL="0" distR="0">
                <wp:extent cx="635" cy="19050"/>
                <wp:effectExtent l="0" t="0" r="0" b="0"/>
                <wp:docPr id="9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0" name=""/>
                        <wps:cNvSpPr/>
                      </wps:nvSpPr>
                      <wps:spPr>
                        <a:xfrm>
                          <a:off x="0" y="0"/>
                          <a:ext cx="720" cy="19080"/>
                        </a:xfrm>
                        <a:prstGeom prst="rect">
                          <a:avLst/>
                        </a:prstGeom>
                        <a:solidFill>
                          <a:srgbClr val="aca899"/>
                        </a:solidFill>
                        <a:ln w="0">
                          <a:noFill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shape_0" fillcolor="#aca899" stroked="f" o:allowincell="f" style="position:absolute;margin-left:0pt;margin-top:-1.55pt;width:0pt;height:1.45pt;mso-wrap-style:none;v-text-anchor:middle;mso-position-horizontal:center;mso-position-vertical:top">
                <v:fill o:detectmouseclick="t" type="solid" color2="#535766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Normal"/>
        <w:spacing w:before="240" w:after="240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3. Consommation foncière et cohérence d’ensemble</w:t>
      </w:r>
    </w:p>
    <w:p>
      <w:pPr>
        <w:pStyle w:val="Normal"/>
        <w:spacing w:before="240" w:after="240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>La consommation foncière totale prévue par le PLUi est de </w:t>
      </w:r>
      <w:r>
        <w:rPr>
          <w:rFonts w:cs="Arial" w:ascii="Verdana" w:hAnsi="Verdana"/>
          <w:b/>
          <w:bCs/>
          <w:color w:val="000000"/>
          <w:sz w:val="20"/>
          <w:szCs w:val="20"/>
        </w:rPr>
        <w:t>17 ha sur 15 ans</w:t>
      </w:r>
      <w:r>
        <w:rPr>
          <w:rFonts w:cs="Arial" w:ascii="Verdana" w:hAnsi="Verdana"/>
          <w:color w:val="000000"/>
          <w:sz w:val="20"/>
          <w:szCs w:val="20"/>
        </w:rPr>
        <w:t>, dont :</w:t>
      </w:r>
    </w:p>
    <w:p>
      <w:pPr>
        <w:pStyle w:val="Normal"/>
        <w:numPr>
          <w:ilvl w:val="0"/>
          <w:numId w:val="1"/>
        </w:numPr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>7 ha pour l’habitat,</w:t>
      </w:r>
    </w:p>
    <w:p>
      <w:pPr>
        <w:pStyle w:val="Normal"/>
        <w:numPr>
          <w:ilvl w:val="0"/>
          <w:numId w:val="1"/>
        </w:numPr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>10 ha pour les activités économiques.</w:t>
      </w:r>
    </w:p>
    <w:p>
      <w:pPr>
        <w:pStyle w:val="Normal"/>
        <w:spacing w:before="240" w:after="240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>Le PLUi assure par ailleurs la préservation de :</w:t>
      </w:r>
    </w:p>
    <w:p>
      <w:pPr>
        <w:pStyle w:val="Normal"/>
        <w:numPr>
          <w:ilvl w:val="0"/>
          <w:numId w:val="1"/>
        </w:numPr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>17 818 ha d’espaces agricoles,</w:t>
      </w:r>
    </w:p>
    <w:p>
      <w:pPr>
        <w:pStyle w:val="Normal"/>
        <w:numPr>
          <w:ilvl w:val="0"/>
          <w:numId w:val="1"/>
        </w:numPr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>4 944 ha d’espaces naturels.</w:t>
      </w:r>
    </w:p>
    <w:p>
      <w:pPr>
        <w:pStyle w:val="Normal"/>
        <w:spacing w:before="240" w:after="240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>La Région Hauts-de-France a adopté son Schéma régional d’aménagement, de développement durable et d’égalité des territoires (SRADDET), dont la modification n°1 fixant les objectifs de réduction de la consommation d’espaces a été approuvée en 2024. La territorialisation des objectifs impose au PETR du Soissonnais-Valois une réduction de </w:t>
      </w:r>
      <w:r>
        <w:rPr>
          <w:rFonts w:cs="Arial" w:ascii="Verdana" w:hAnsi="Verdana"/>
          <w:b/>
          <w:bCs/>
          <w:color w:val="000000"/>
          <w:sz w:val="20"/>
          <w:szCs w:val="20"/>
        </w:rPr>
        <w:t>65,3 %</w:t>
      </w:r>
      <w:r>
        <w:rPr>
          <w:rFonts w:cs="Arial" w:ascii="Verdana" w:hAnsi="Verdana"/>
          <w:color w:val="000000"/>
          <w:sz w:val="20"/>
          <w:szCs w:val="20"/>
        </w:rPr>
        <w:t> pour la période </w:t>
      </w:r>
      <w:r>
        <w:rPr>
          <w:rFonts w:cs="Arial" w:ascii="Verdana" w:hAnsi="Verdana"/>
          <w:b/>
          <w:bCs/>
          <w:color w:val="000000"/>
          <w:sz w:val="20"/>
          <w:szCs w:val="20"/>
        </w:rPr>
        <w:t>2021–2031</w:t>
      </w:r>
      <w:r>
        <w:rPr>
          <w:rFonts w:cs="Arial" w:ascii="Verdana" w:hAnsi="Verdana"/>
          <w:color w:val="000000"/>
          <w:sz w:val="20"/>
          <w:szCs w:val="20"/>
        </w:rPr>
        <w:t>, par rapport à la période de référence </w:t>
      </w:r>
      <w:r>
        <w:rPr>
          <w:rFonts w:cs="Arial" w:ascii="Verdana" w:hAnsi="Verdana"/>
          <w:b/>
          <w:bCs/>
          <w:color w:val="000000"/>
          <w:sz w:val="20"/>
          <w:szCs w:val="20"/>
        </w:rPr>
        <w:t>2011–2020</w:t>
      </w:r>
      <w:r>
        <w:rPr>
          <w:rFonts w:cs="Arial" w:ascii="Verdana" w:hAnsi="Verdana"/>
          <w:color w:val="000000"/>
          <w:sz w:val="20"/>
          <w:szCs w:val="20"/>
        </w:rPr>
        <w:t> et de 50% sur la décennie suivante.</w:t>
      </w:r>
    </w:p>
    <w:p>
      <w:pPr>
        <w:pStyle w:val="Normal"/>
        <w:spacing w:before="240" w:after="240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>Sur cette période de référence, la CCCOC a consommé </w:t>
      </w:r>
      <w:r>
        <w:rPr>
          <w:rFonts w:cs="Arial" w:ascii="Verdana" w:hAnsi="Verdana"/>
          <w:b/>
          <w:bCs/>
          <w:color w:val="000000"/>
          <w:sz w:val="20"/>
          <w:szCs w:val="20"/>
        </w:rPr>
        <w:t>18,4 ha</w:t>
      </w:r>
      <w:r>
        <w:rPr>
          <w:rFonts w:cs="Arial" w:ascii="Verdana" w:hAnsi="Verdana"/>
          <w:color w:val="000000"/>
          <w:sz w:val="20"/>
          <w:szCs w:val="20"/>
        </w:rPr>
        <w:t>. En appliquant le taux d’effort régional, la consommation maximale compatible avec le SRADDET s’élève à </w:t>
      </w:r>
      <w:r>
        <w:rPr>
          <w:rFonts w:cs="Arial" w:ascii="Verdana" w:hAnsi="Verdana"/>
          <w:b/>
          <w:bCs/>
          <w:color w:val="000000"/>
          <w:sz w:val="20"/>
          <w:szCs w:val="20"/>
        </w:rPr>
        <w:t>6,5 ha pour la période 2021–2031</w:t>
      </w:r>
      <w:r>
        <w:rPr>
          <w:rFonts w:cs="Arial" w:ascii="Verdana" w:hAnsi="Verdana"/>
          <w:color w:val="000000"/>
          <w:sz w:val="20"/>
          <w:szCs w:val="20"/>
        </w:rPr>
        <w:t>, et à </w:t>
      </w:r>
      <w:r>
        <w:rPr>
          <w:rFonts w:cs="Arial" w:ascii="Verdana" w:hAnsi="Verdana"/>
          <w:b/>
          <w:bCs/>
          <w:color w:val="000000"/>
          <w:sz w:val="20"/>
          <w:szCs w:val="20"/>
        </w:rPr>
        <w:t>3,25 ha pour la période 2031–2041</w:t>
      </w:r>
      <w:r>
        <w:rPr>
          <w:rFonts w:cs="Arial" w:ascii="Verdana" w:hAnsi="Verdana"/>
          <w:color w:val="000000"/>
          <w:sz w:val="20"/>
          <w:szCs w:val="20"/>
        </w:rPr>
        <w:t>.</w:t>
      </w:r>
    </w:p>
    <w:p>
      <w:pPr>
        <w:pStyle w:val="Normal"/>
        <w:spacing w:before="240" w:after="240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>Concernant la période récente </w:t>
      </w:r>
      <w:r>
        <w:rPr>
          <w:rFonts w:cs="Arial" w:ascii="Verdana" w:hAnsi="Verdana"/>
          <w:b/>
          <w:bCs/>
          <w:color w:val="000000"/>
          <w:sz w:val="20"/>
          <w:szCs w:val="20"/>
        </w:rPr>
        <w:t>2021–2023</w:t>
      </w:r>
      <w:r>
        <w:rPr>
          <w:rFonts w:cs="Arial" w:ascii="Verdana" w:hAnsi="Verdana"/>
          <w:color w:val="000000"/>
          <w:sz w:val="20"/>
          <w:szCs w:val="20"/>
        </w:rPr>
        <w:t>, les données issues du portail de l’artificialisation indiquent une consommation foncière de </w:t>
      </w:r>
      <w:r>
        <w:rPr>
          <w:rFonts w:cs="Arial" w:ascii="Verdana" w:hAnsi="Verdana"/>
          <w:b/>
          <w:bCs/>
          <w:color w:val="000000"/>
          <w:sz w:val="20"/>
          <w:szCs w:val="20"/>
        </w:rPr>
        <w:t>12,3 ha</w:t>
      </w:r>
      <w:r>
        <w:rPr>
          <w:rFonts w:cs="Arial" w:ascii="Verdana" w:hAnsi="Verdana"/>
          <w:color w:val="000000"/>
          <w:sz w:val="20"/>
          <w:szCs w:val="20"/>
        </w:rPr>
        <w:t>.</w:t>
      </w:r>
      <w:r>
        <w:rPr>
          <w:rFonts w:cs="Arial" w:ascii="Verdana" w:hAnsi="Verdana"/>
          <w:b/>
          <w:bCs/>
          <w:color w:val="000000"/>
          <w:sz w:val="20"/>
          <w:szCs w:val="20"/>
        </w:rPr>
        <w:br/>
        <w:t>Cette donnée fait actuellement l’objet d’une investigation complémentaire côté PETR</w:t>
      </w:r>
      <w:r>
        <w:rPr>
          <w:rFonts w:cs="Arial" w:ascii="Verdana" w:hAnsi="Verdana"/>
          <w:color w:val="000000"/>
          <w:sz w:val="20"/>
          <w:szCs w:val="20"/>
        </w:rPr>
        <w:t>, afin d’en préciser la fiabilité et les contours réels.</w:t>
      </w:r>
    </w:p>
    <w:p>
      <w:pPr>
        <w:pStyle w:val="Normal"/>
        <w:spacing w:before="240" w:after="240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>Ces éléments confirment la nécessité d’ajuster la trajectoire foncière du PLUi afin d’assurer sa compatibilité avec les objectifs régionaux et nationaux en matière de sobriété foncière.</w:t>
      </w:r>
    </w:p>
    <w:p>
      <w:pPr>
        <w:pStyle w:val="Normal"/>
        <w:rPr/>
      </w:pPr>
      <w:r>
        <w:rPr/>
        <mc:AlternateContent>
          <mc:Choice Requires="wps">
            <w:drawing>
              <wp:inline distT="0" distB="0" distL="0" distR="0">
                <wp:extent cx="635" cy="19050"/>
                <wp:effectExtent l="0" t="0" r="0" b="0"/>
                <wp:docPr id="1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2" name=""/>
                        <wps:cNvSpPr/>
                      </wps:nvSpPr>
                      <wps:spPr>
                        <a:xfrm>
                          <a:off x="0" y="0"/>
                          <a:ext cx="720" cy="19080"/>
                        </a:xfrm>
                        <a:prstGeom prst="rect">
                          <a:avLst/>
                        </a:prstGeom>
                        <a:solidFill>
                          <a:srgbClr val="aca899"/>
                        </a:solidFill>
                        <a:ln w="0">
                          <a:noFill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shape_0" fillcolor="#aca899" stroked="f" o:allowincell="f" style="position:absolute;margin-left:0pt;margin-top:-1.55pt;width:0pt;height:1.45pt;mso-wrap-style:none;v-text-anchor:middle;mso-position-horizontal:center;mso-position-vertical:top">
                <v:fill o:detectmouseclick="t" type="solid" color2="#535766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Normal"/>
        <w:spacing w:before="240" w:after="240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4. Autres composantes du projet</w:t>
      </w:r>
    </w:p>
    <w:p>
      <w:pPr>
        <w:pStyle w:val="Normal"/>
        <w:spacing w:before="240" w:after="240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>Le dossier arrêté comprend :</w:t>
      </w:r>
    </w:p>
    <w:p>
      <w:pPr>
        <w:pStyle w:val="Normal"/>
        <w:numPr>
          <w:ilvl w:val="0"/>
          <w:numId w:val="1"/>
        </w:numPr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>Des OAP sectorielles encadrant les modalités d’aménagement des secteurs ouverts à l’urbanisation ;</w:t>
      </w:r>
    </w:p>
    <w:p>
      <w:pPr>
        <w:pStyle w:val="Normal"/>
        <w:numPr>
          <w:ilvl w:val="0"/>
          <w:numId w:val="1"/>
        </w:numPr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>Une OAP « Trame Verte et Bleue », identifiant les continuités écologiques et fixant les principes de préservation et de restauration ;</w:t>
      </w:r>
    </w:p>
    <w:p>
      <w:pPr>
        <w:pStyle w:val="Normal"/>
        <w:numPr>
          <w:ilvl w:val="0"/>
          <w:numId w:val="1"/>
        </w:numPr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>Un règlement intégrant la gestion des eaux pluviales, la prise en compte des risques, l’intégration paysagère et la qualité architecturale ;</w:t>
      </w:r>
    </w:p>
    <w:p>
      <w:pPr>
        <w:pStyle w:val="Normal"/>
        <w:numPr>
          <w:ilvl w:val="0"/>
          <w:numId w:val="1"/>
        </w:numPr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>Des mesures de protection du patrimoine bâti, des paysages, de la trame bocagère, des zones humides et des milieux naturels sensibles.</w:t>
      </w:r>
    </w:p>
    <w:p>
      <w:pPr>
        <w:pStyle w:val="Normal"/>
        <w:rPr/>
      </w:pPr>
      <w:r>
        <w:rPr/>
        <mc:AlternateContent>
          <mc:Choice Requires="wps">
            <w:drawing>
              <wp:inline distT="0" distB="0" distL="0" distR="0">
                <wp:extent cx="635" cy="19050"/>
                <wp:effectExtent l="0" t="0" r="0" b="0"/>
                <wp:docPr id="13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4" name=""/>
                        <wps:cNvSpPr/>
                      </wps:nvSpPr>
                      <wps:spPr>
                        <a:xfrm>
                          <a:off x="0" y="0"/>
                          <a:ext cx="720" cy="19080"/>
                        </a:xfrm>
                        <a:prstGeom prst="rect">
                          <a:avLst/>
                        </a:prstGeom>
                        <a:solidFill>
                          <a:srgbClr val="aca899"/>
                        </a:solidFill>
                        <a:ln w="0">
                          <a:noFill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shape_0" fillcolor="#aca899" stroked="f" o:allowincell="f" style="position:absolute;margin-left:0pt;margin-top:-1.55pt;width:0pt;height:1.45pt;mso-wrap-style:none;v-text-anchor:middle;mso-position-horizontal:center;mso-position-vertical:top">
                <v:fill o:detectmouseclick="t" type="solid" color2="#535766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Normal"/>
        <w:spacing w:before="240" w:after="240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DÉLIBÈRE</w:t>
      </w:r>
    </w:p>
    <w:p>
      <w:pPr>
        <w:pStyle w:val="Normal"/>
        <w:spacing w:before="240" w:after="240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>Le Comité syndical du PETR du Soissonnais et du Valois, après en avoir délibéré :</w:t>
      </w:r>
    </w:p>
    <w:p>
      <w:pPr>
        <w:pStyle w:val="Normal"/>
        <w:spacing w:before="240" w:after="240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Article 1 —</w:t>
      </w:r>
      <w:r>
        <w:rPr>
          <w:rFonts w:cs="Arial" w:ascii="Verdana" w:hAnsi="Verdana"/>
          <w:color w:val="000000"/>
          <w:sz w:val="20"/>
          <w:szCs w:val="20"/>
        </w:rPr>
        <w:t xml:space="preserve"> </w:t>
      </w:r>
      <w:r>
        <w:rPr>
          <w:rFonts w:cs="Arial" w:ascii="Verdana" w:hAnsi="Verdana"/>
          <w:b/>
          <w:bCs/>
          <w:color w:val="000000"/>
          <w:sz w:val="20"/>
          <w:szCs w:val="20"/>
        </w:rPr>
        <w:t>Émet un avis favorable, sous réserve de la mise en conformité du document avec les objectifs de sobriété foncière arrêtés par le SRADDET de la Région Hauts-de-France</w:t>
      </w:r>
      <w:r>
        <w:rPr>
          <w:rFonts w:cs="Arial" w:ascii="Verdana" w:hAnsi="Verdana"/>
          <w:color w:val="000000"/>
          <w:sz w:val="20"/>
          <w:szCs w:val="20"/>
        </w:rPr>
        <w:t>, sur le projet de Plan Local d’Urbanisme intercommunal de la Communauté de communes du Canton d’Oulchy-le-Château.</w:t>
      </w:r>
      <w:r>
        <w:rPr>
          <w:rFonts w:cs="Arial" w:ascii="Verdana" w:hAnsi="Verdana"/>
          <w:color w:val="000000"/>
          <w:sz w:val="20"/>
          <w:szCs w:val="20"/>
          <w:shd w:fill="FFFFFF" w:val="clear"/>
        </w:rPr>
        <w:t xml:space="preserve"> </w:t>
      </w:r>
      <w:r>
        <w:rPr>
          <w:rFonts w:cs="Arial" w:ascii="Verdana" w:hAnsi="Verdana"/>
          <w:color w:val="000000"/>
          <w:sz w:val="20"/>
          <w:szCs w:val="20"/>
          <w:shd w:fill="FFFFFF" w:val="clear"/>
        </w:rPr>
        <w:t>Ces objectifs de sobriété feront l'objet d'une évaluation complémentaire des consommations antérieures ainsi que de la trajectoire retenue. De plus, cet avis ne prend pas en compte à ce stade l'éventuelle intégration de projets de développement économique au sein de l'enveloppe dédiée aux projets d'envergure régionale. Si ces points sont solutionnés, la réserve sera levée</w:t>
      </w:r>
      <w:r>
        <w:rPr>
          <w:rFonts w:cs="Arial" w:ascii="Verdana" w:hAnsi="Verdana"/>
          <w:color w:val="000000"/>
          <w:sz w:val="20"/>
          <w:szCs w:val="20"/>
          <w:shd w:fill="FFFFFF" w:val="clear"/>
        </w:rPr>
        <w:t> </w:t>
      </w:r>
    </w:p>
    <w:p>
      <w:pPr>
        <w:pStyle w:val="Normal"/>
        <w:spacing w:before="240" w:after="240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Article 2 —</w:t>
      </w:r>
      <w:r>
        <w:rPr>
          <w:rFonts w:cs="Arial" w:ascii="Verdana" w:hAnsi="Verdana"/>
          <w:color w:val="000000"/>
          <w:sz w:val="20"/>
          <w:szCs w:val="20"/>
        </w:rPr>
        <w:t xml:space="preserve"> Charge le Président du PETR, ou son représentant, de transmettre le présent avis à la Communauté de communes du Canton d’Oulchy-le-Château.</w:t>
      </w:r>
    </w:p>
    <w:p>
      <w:pPr>
        <w:pStyle w:val="Normal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ind w:start="5040"/>
        <w:rPr>
          <w:rFonts w:ascii="Verdana" w:hAnsi="Verdana" w:cs="Arial"/>
          <w:sz w:val="18"/>
          <w:szCs w:val="18"/>
        </w:rPr>
      </w:pPr>
      <w:r>
        <w:rPr>
          <w:rFonts w:cs="Arial" w:ascii="Verdana" w:hAnsi="Verdana"/>
          <w:sz w:val="18"/>
          <w:szCs w:val="18"/>
        </w:rPr>
        <w:t>Fait et délibéré les jour, mois et an susdits.</w:t>
      </w:r>
    </w:p>
    <w:p>
      <w:pPr>
        <w:pStyle w:val="Normal"/>
        <w:ind w:start="5040"/>
        <w:rPr>
          <w:rFonts w:ascii="Verdana" w:hAnsi="Verdana" w:cs="Arial"/>
          <w:sz w:val="18"/>
          <w:szCs w:val="18"/>
        </w:rPr>
      </w:pPr>
      <w:r>
        <w:rPr>
          <w:rFonts w:cs="Arial" w:ascii="Verdana" w:hAnsi="Verdana"/>
          <w:sz w:val="18"/>
          <w:szCs w:val="18"/>
        </w:rPr>
        <w:t>Pour extrait conforme</w:t>
      </w:r>
    </w:p>
    <w:p>
      <w:pPr>
        <w:pStyle w:val="Normal"/>
        <w:ind w:start="5040"/>
        <w:rPr>
          <w:rFonts w:ascii="Verdana" w:hAnsi="Verdana" w:cs="Arial"/>
          <w:sz w:val="18"/>
          <w:szCs w:val="18"/>
        </w:rPr>
      </w:pPr>
      <w:r>
        <w:rPr>
          <w:rFonts w:cs="Arial" w:ascii="Verdana" w:hAnsi="Verdana"/>
          <w:sz w:val="18"/>
          <w:szCs w:val="18"/>
        </w:rPr>
        <w:t>Alain CREMONT,</w:t>
      </w:r>
    </w:p>
    <w:p>
      <w:pPr>
        <w:pStyle w:val="Normal"/>
        <w:ind w:start="5040"/>
        <w:rPr>
          <w:rFonts w:ascii="Verdana" w:hAnsi="Verdana" w:cs="Arial"/>
          <w:sz w:val="18"/>
          <w:szCs w:val="18"/>
        </w:rPr>
      </w:pPr>
      <w:r>
        <w:rPr>
          <w:rFonts w:cs="Arial" w:ascii="Verdana" w:hAnsi="Verdana"/>
          <w:sz w:val="18"/>
          <w:szCs w:val="18"/>
        </w:rPr>
        <w:t>Président</w:t>
      </w:r>
    </w:p>
    <w:tbl>
      <w:tblPr>
        <w:tblStyle w:val="Grilledutableau"/>
        <w:tblW w:w="2834" w:type="dxa"/>
        <w:jc w:val="start"/>
        <w:tblInd w:w="504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1" w:firstColumn="1" w:lastColumn="1" w:noHBand="0" w:val="05e0"/>
      </w:tblPr>
      <w:tblGrid>
        <w:gridCol w:w="2834"/>
      </w:tblGrid>
      <w:tr>
        <w:trPr>
          <w:trHeight w:val="2268" w:hRule="exact"/>
        </w:trPr>
        <w:tc>
          <w:tcPr>
            <w:tcW w:w="2834" w:type="dxa"/>
            <w:tcBorders>
              <w:top w:val="nil"/>
              <w:start w:val="nil"/>
              <w:bottom w:val="nil"/>
              <w:end w:val="nil"/>
            </w:tcBorders>
          </w:tcPr>
          <w:p>
            <w:pPr>
              <w:pStyle w:val="Normal"/>
              <w:widowControl/>
              <w:spacing w:before="0" w:after="0"/>
              <w:jc w:val="start"/>
              <w:rPr>
                <w:rFonts w:ascii="Verdana" w:hAnsi="Verdana" w:cs="Arial"/>
                <w:color w:val="FFFFFF"/>
                <w:sz w:val="18"/>
                <w:szCs w:val="18"/>
              </w:rPr>
            </w:pPr>
            <w:r>
              <w:rPr>
                <w:rFonts w:eastAsia="Times New Roman" w:cs="Arial" w:ascii="Verdana" w:hAnsi="Verdana"/>
                <w:color w:val="FFFFFF"/>
                <w:kern w:val="0"/>
                <w:sz w:val="18"/>
                <w:szCs w:val="18"/>
                <w:lang w:val="fr-FR" w:eastAsia="fr-FR" w:bidi="ar-SA"/>
              </w:rPr>
              <w:t>[[[signature1]]]</w:t>
            </w:r>
          </w:p>
          <w:p>
            <w:pPr>
              <w:pStyle w:val="Normal"/>
              <w:widowControl/>
              <w:spacing w:before="0" w:after="0"/>
              <w:jc w:val="start"/>
              <w:rPr>
                <w:rFonts w:ascii="Verdana" w:hAnsi="Verdana" w:cs="Arial"/>
                <w:color w:val="FFFFFF"/>
                <w:sz w:val="18"/>
                <w:szCs w:val="18"/>
              </w:rPr>
            </w:pPr>
            <w:r>
              <w:rPr>
                <w:rFonts w:eastAsia="Times New Roman" w:cs="Arial" w:ascii="Verdana" w:hAnsi="Verdana"/>
                <w:color w:val="FFFFFF"/>
                <w:kern w:val="0"/>
                <w:sz w:val="18"/>
                <w:szCs w:val="18"/>
                <w:lang w:val="fr-FR" w:eastAsia="fr-FR" w:bidi="ar-SA"/>
              </w:rPr>
            </w:r>
          </w:p>
          <w:p>
            <w:pPr>
              <w:pStyle w:val="Normal"/>
              <w:widowControl/>
              <w:spacing w:before="0" w:after="0"/>
              <w:jc w:val="start"/>
              <w:rPr>
                <w:rFonts w:ascii="Verdana" w:hAnsi="Verdana" w:cs="Arial"/>
                <w:color w:val="FFFFFF"/>
                <w:sz w:val="18"/>
                <w:szCs w:val="18"/>
              </w:rPr>
            </w:pPr>
            <w:r>
              <w:rPr>
                <w:rFonts w:eastAsia="Times New Roman" w:cs="Arial" w:ascii="Verdana" w:hAnsi="Verdana"/>
                <w:color w:val="FFFFFF"/>
                <w:kern w:val="0"/>
                <w:sz w:val="18"/>
                <w:szCs w:val="18"/>
                <w:lang w:val="fr-FR" w:eastAsia="fr-FR" w:bidi="ar-SA"/>
              </w:rPr>
            </w:r>
          </w:p>
          <w:p>
            <w:pPr>
              <w:pStyle w:val="Normal"/>
              <w:widowControl/>
              <w:spacing w:before="0" w:after="0"/>
              <w:jc w:val="center"/>
              <w:rPr>
                <w:vanish/>
                <w:color w:val="000000"/>
                <w:szCs w:val="18"/>
              </w:rPr>
            </w:pPr>
            <w:r>
              <w:rPr>
                <w:rFonts w:eastAsia="Times New Roman" w:cs="Times New Roman"/>
                <w:vanish/>
                <w:color w:val="000000"/>
                <w:kern w:val="0"/>
                <w:szCs w:val="18"/>
                <w:lang w:val="fr-FR" w:eastAsia="fr-FR" w:bidi="ar-SA"/>
              </w:rPr>
              <w:t>SIGNATURE1</w:t>
            </w:r>
          </w:p>
        </w:tc>
      </w:tr>
    </w:tbl>
    <w:p>
      <w:pPr>
        <w:pStyle w:val="Normal"/>
        <w:ind w:hanging="0" w:start="0"/>
        <w:rPr>
          <w:rFonts w:ascii="Verdana" w:hAnsi="Verdana" w:cs="Arial"/>
          <w:sz w:val="18"/>
          <w:szCs w:val="18"/>
        </w:rPr>
      </w:pPr>
      <w:r>
        <w:rPr>
          <w:rFonts w:cs="Arial" w:ascii="Verdana" w:hAnsi="Verdana"/>
          <w:sz w:val="18"/>
          <w:szCs w:val="18"/>
        </w:rPr>
      </w:r>
    </w:p>
    <w:sectPr>
      <w:type w:val="nextPage"/>
      <w:pgSz w:w="11906" w:h="16838"/>
      <w:pgMar w:left="1418" w:right="1418" w:gutter="0" w:header="0" w:top="851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ambria">
    <w:charset w:val="00" w:characterSet="windows-1252"/>
    <w:family w:val="roman"/>
    <w:pitch w:val="variable"/>
  </w:font>
  <w:font w:name="Tahoma">
    <w:charset w:val="00" w:characterSet="windows-1252"/>
    <w:family w:val="swiss"/>
    <w:pitch w:val="variable"/>
  </w:font>
  <w:font w:name="Liberation Sans">
    <w:altName w:val="Arial"/>
    <w:charset w:val="00" w:characterSet="windows-1252"/>
    <w:family w:val="swiss"/>
    <w:pitch w:val="variable"/>
  </w:font>
  <w:font w:name="Verdana">
    <w:charset w:val="00" w:characterSet="windows-1252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fr-FR" w:eastAsia="fr-F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fr-FR" w:eastAsia="fr-FR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PHPDOCX" w:customStyle="1">
    <w:name w:val="Default Paragraph Font PHPDOCX"/>
    <w:uiPriority w:val="1"/>
    <w:semiHidden/>
    <w:unhideWhenUsed/>
    <w:qFormat/>
    <w:rPr/>
  </w:style>
  <w:style w:type="character" w:styleId="TitleCarPHPDOCX" w:customStyle="1">
    <w:name w:val="Title Car PHPDOCX"/>
    <w:basedOn w:val="DefaultParagraphFontPHPDOCX"/>
    <w:link w:val="TitlePHPDOCX"/>
    <w:uiPriority w:val="10"/>
    <w:qFormat/>
    <w:rsid w:val="00df064e"/>
    <w:rPr>
      <w:rFonts w:ascii="Cambria" w:hAnsi="Cambria" w:eastAsia="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character" w:styleId="SubtitleCarPHPDOCX" w:customStyle="1">
    <w:name w:val="Subtitle Car PHPDOCX"/>
    <w:basedOn w:val="DefaultParagraphFontPHPDOCX"/>
    <w:link w:val="SubtitlePHPDOCX"/>
    <w:uiPriority w:val="11"/>
    <w:qFormat/>
    <w:rsid w:val="00df064e"/>
    <w:rPr>
      <w:rFonts w:ascii="Cambria" w:hAnsi="Cambria" w:eastAsia="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character" w:styleId="annotationreferencePHPDOCX" w:customStyle="1">
    <w:name w:val="annotation reference PHPDOCX"/>
    <w:basedOn w:val="DefaultParagraphFontPHPDOCX"/>
    <w:uiPriority w:val="99"/>
    <w:semiHidden/>
    <w:unhideWhenUsed/>
    <w:qFormat/>
    <w:rsid w:val="00e139ea"/>
    <w:rPr>
      <w:sz w:val="16"/>
      <w:szCs w:val="16"/>
    </w:rPr>
  </w:style>
  <w:style w:type="character" w:styleId="CommentTextCharPHPDOCX" w:customStyle="1">
    <w:name w:val="Comment Text Char PHPDOCX"/>
    <w:basedOn w:val="DefaultParagraphFontPHPDOCX"/>
    <w:link w:val="annotationtextPHPDOCX"/>
    <w:uiPriority w:val="99"/>
    <w:semiHidden/>
    <w:qFormat/>
    <w:rsid w:val="00e139ea"/>
    <w:rPr>
      <w:sz w:val="20"/>
      <w:szCs w:val="20"/>
    </w:rPr>
  </w:style>
  <w:style w:type="character" w:styleId="CommentSubjectCharPHPDOCX" w:customStyle="1">
    <w:name w:val="Comment Subject Char PHPDOCX"/>
    <w:basedOn w:val="CommentTextCharPHPDOCX"/>
    <w:link w:val="annotationsubjectPHPDOCX"/>
    <w:uiPriority w:val="99"/>
    <w:semiHidden/>
    <w:qFormat/>
    <w:rsid w:val="00e139ea"/>
    <w:rPr>
      <w:b/>
      <w:bCs/>
      <w:sz w:val="20"/>
      <w:szCs w:val="20"/>
    </w:rPr>
  </w:style>
  <w:style w:type="character" w:styleId="BalloonTextCharPHPDOCX" w:customStyle="1">
    <w:name w:val="Balloon Text Char PHPDOCX"/>
    <w:basedOn w:val="DefaultParagraphFontPHPDOCX"/>
    <w:link w:val="BalloonTextPHPDOCX"/>
    <w:uiPriority w:val="99"/>
    <w:semiHidden/>
    <w:qFormat/>
    <w:rsid w:val="00e139ea"/>
    <w:rPr>
      <w:rFonts w:ascii="Tahoma" w:hAnsi="Tahoma" w:cs="Tahoma"/>
      <w:sz w:val="16"/>
      <w:szCs w:val="16"/>
    </w:rPr>
  </w:style>
  <w:style w:type="character" w:styleId="footnoteTextCarPHPDOCX" w:customStyle="1">
    <w:name w:val="footnote Text Car PHPDOCX"/>
    <w:basedOn w:val="DefaultParagraphFontPHPDOCX"/>
    <w:link w:val="footnoteTextPHPDOCX"/>
    <w:uiPriority w:val="99"/>
    <w:semiHidden/>
    <w:qFormat/>
    <w:rsid w:val="006e0fda"/>
    <w:rPr>
      <w:sz w:val="20"/>
      <w:szCs w:val="20"/>
    </w:rPr>
  </w:style>
  <w:style w:type="character" w:styleId="footnoteReferencePHPDOCX" w:customStyle="1">
    <w:name w:val="footnote Reference PHPDOCX"/>
    <w:basedOn w:val="DefaultParagraphFontPHPDOCX"/>
    <w:uiPriority w:val="99"/>
    <w:semiHidden/>
    <w:unhideWhenUsed/>
    <w:qFormat/>
    <w:rsid w:val="006e0fda"/>
    <w:rPr>
      <w:vertAlign w:val="superscript"/>
    </w:rPr>
  </w:style>
  <w:style w:type="character" w:styleId="endnoteTextCarPHPDOCX" w:customStyle="1">
    <w:name w:val="endnote Text Car PHPDOCX"/>
    <w:basedOn w:val="DefaultParagraphFontPHPDOCX"/>
    <w:link w:val="endnoteTextPHPDOCX"/>
    <w:uiPriority w:val="99"/>
    <w:semiHidden/>
    <w:qFormat/>
    <w:rsid w:val="006e0fda"/>
    <w:rPr>
      <w:sz w:val="20"/>
      <w:szCs w:val="20"/>
    </w:rPr>
  </w:style>
  <w:style w:type="character" w:styleId="endnoteReferencePHPDOCX" w:customStyle="1">
    <w:name w:val="endnote Reference PHPDOCX"/>
    <w:basedOn w:val="DefaultParagraphFontPHPDOCX"/>
    <w:uiPriority w:val="99"/>
    <w:semiHidden/>
    <w:unhideWhenUsed/>
    <w:qFormat/>
    <w:rsid w:val="006e0fda"/>
    <w:rPr>
      <w:vertAlign w:val="superscript"/>
    </w:rPr>
  </w:style>
  <w:style w:type="character" w:styleId="pStyleCar" w:customStyle="1">
    <w:name w:val="pStyleCar"/>
    <w:link w:val="pStyle"/>
    <w:uiPriority w:val="99"/>
    <w:semiHidden/>
    <w:unhideWhenUsed/>
    <w:qFormat/>
    <w:rsid w:val="006e0fda"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En-tteetpieddepage">
    <w:name w:val="En-tête et pied de page"/>
    <w:basedOn w:val="Normal"/>
    <w:qFormat/>
    <w:pPr/>
    <w:rPr/>
  </w:style>
  <w:style w:type="paragraph" w:styleId="Header">
    <w:name w:val="header"/>
    <w:basedOn w:val="Normal"/>
    <w:rsid w:val="007e6f17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rsid w:val="007e6f17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PHPDOCX" w:customStyle="1">
    <w:name w:val="List Paragraph PHPDOCX"/>
    <w:basedOn w:val="Normal"/>
    <w:uiPriority w:val="34"/>
    <w:qFormat/>
    <w:rsid w:val="00df064e"/>
    <w:pPr>
      <w:spacing w:before="0" w:after="0"/>
      <w:ind w:start="720"/>
      <w:contextualSpacing/>
    </w:pPr>
    <w:rPr/>
  </w:style>
  <w:style w:type="paragraph" w:styleId="TitlePHPDOCX" w:customStyle="1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before="0" w:after="300"/>
      <w:contextualSpacing/>
    </w:pPr>
    <w:rPr>
      <w:rFonts w:ascii="Cambria" w:hAnsi="Cambria" w:eastAsia="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paragraph" w:styleId="SubtitlePHPDOCX" w:customStyle="1">
    <w:name w:val="Subtitle PHPDOCX"/>
    <w:basedOn w:val="Normal"/>
    <w:next w:val="Normal"/>
    <w:link w:val="SubtitleCarPHPDOCX"/>
    <w:uiPriority w:val="11"/>
    <w:qFormat/>
    <w:rsid w:val="00df064e"/>
    <w:pPr/>
    <w:rPr>
      <w:rFonts w:ascii="Cambria" w:hAnsi="Cambria" w:eastAsia="" w:cs="" w:asciiTheme="majorHAnsi" w:cstheme="majorBidi" w:eastAsiaTheme="majorEastAsia" w:hAnsiTheme="majorHAnsi"/>
      <w:i/>
      <w:iCs/>
      <w:color w:themeColor="accent1" w:val="4F81BD"/>
      <w:spacing w:val="15"/>
    </w:rPr>
  </w:style>
  <w:style w:type="paragraph" w:styleId="annotationtextPHPDOCX" w:customStyle="1">
    <w:name w:val="annotation text PHPDOCX"/>
    <w:basedOn w:val="Normal"/>
    <w:link w:val="CommentTextCharPHPDOCX"/>
    <w:uiPriority w:val="99"/>
    <w:semiHidden/>
    <w:unhideWhenUsed/>
    <w:qFormat/>
    <w:rsid w:val="00e139ea"/>
    <w:pPr/>
    <w:rPr>
      <w:sz w:val="20"/>
      <w:szCs w:val="20"/>
    </w:rPr>
  </w:style>
  <w:style w:type="paragraph" w:styleId="annotationsubjectPHPDOCX" w:customStyle="1">
    <w:name w:val="annotation subject PHPDOCX"/>
    <w:basedOn w:val="annotationtextPHPDOCX"/>
    <w:next w:val="annotationtextPHPDOCX"/>
    <w:link w:val="CommentSubjectCharPHPDOCX"/>
    <w:uiPriority w:val="99"/>
    <w:semiHidden/>
    <w:unhideWhenUsed/>
    <w:qFormat/>
    <w:rsid w:val="00e139ea"/>
    <w:pPr/>
    <w:rPr>
      <w:b/>
      <w:bCs/>
    </w:rPr>
  </w:style>
  <w:style w:type="paragraph" w:styleId="BalloonTextPHPDOCX" w:customStyle="1">
    <w:name w:val="Balloon Text PHPDOCX"/>
    <w:basedOn w:val="Normal"/>
    <w:link w:val="BalloonTextCharPHPDOCX"/>
    <w:uiPriority w:val="99"/>
    <w:semiHidden/>
    <w:unhideWhenUsed/>
    <w:qFormat/>
    <w:rsid w:val="00e139ea"/>
    <w:pPr/>
    <w:rPr>
      <w:rFonts w:ascii="Tahoma" w:hAnsi="Tahoma" w:cs="Tahoma"/>
      <w:sz w:val="16"/>
      <w:szCs w:val="16"/>
    </w:rPr>
  </w:style>
  <w:style w:type="paragraph" w:styleId="footnoteTextPHPDOCX" w:customStyle="1">
    <w:name w:val="footnote Text PHPDOCX"/>
    <w:basedOn w:val="Normal"/>
    <w:link w:val="footnoteTextCarPHPDOCX"/>
    <w:uiPriority w:val="99"/>
    <w:semiHidden/>
    <w:unhideWhenUsed/>
    <w:qFormat/>
    <w:rsid w:val="006e0fda"/>
    <w:pPr/>
    <w:rPr>
      <w:sz w:val="20"/>
      <w:szCs w:val="20"/>
    </w:rPr>
  </w:style>
  <w:style w:type="paragraph" w:styleId="endnoteTextPHPDOCX" w:customStyle="1">
    <w:name w:val="endnote Text PHPDOCX"/>
    <w:basedOn w:val="Normal"/>
    <w:link w:val="endnoteTextCarPHPDOCX"/>
    <w:uiPriority w:val="99"/>
    <w:semiHidden/>
    <w:unhideWhenUsed/>
    <w:qFormat/>
    <w:rsid w:val="006e0fda"/>
    <w:pPr/>
    <w:rPr>
      <w:sz w:val="20"/>
      <w:szCs w:val="20"/>
    </w:rPr>
  </w:style>
  <w:style w:type="paragraph" w:styleId="pStyle" w:customStyle="1">
    <w:name w:val="pStyle"/>
    <w:link w:val="pStyleCar"/>
    <w:uiPriority w:val="99"/>
    <w:semiHidden/>
    <w:unhideWhenUsed/>
    <w:qFormat/>
    <w:rsid w:val="006e0fda"/>
    <w:pPr>
      <w:widowControl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fr-FR" w:eastAsia="fr-FR" w:bidi="ar-SA"/>
    </w:rPr>
  </w:style>
  <w:style w:type="paragraph" w:styleId="Contenudecadre">
    <w:name w:val="Contenu de cadre"/>
    <w:basedOn w:val="Normal"/>
    <w:qFormat/>
    <w:pPr/>
    <w:rPr/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rsid w:val="007e6f1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NormalTablePHPDOCX">
    <w:name w:val="Normal Table PHPDOCX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0">
    <w:name w:val="Normal Table PHPDOCX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0">
    <w:name w:val="Table Grid PHPDOCX"/>
    <w:uiPriority w:val="59"/>
    <w:rsid w:val="00493a0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Application>LibreOffice/25.8.5.2$Windows_X86_64 LibreOffice_project/9c8b85f387cc00a89945a79c9e6239f32e450ac2</Application>
  <AppVersion>15.0000</AppVersion>
  <Pages>3</Pages>
  <Words>1085</Words>
  <Characters>5968</Characters>
  <CharactersWithSpaces>6938</CharactersWithSpaces>
  <Paragraphs>95</Paragraphs>
  <Company>Conseil Général de l'Aube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2014-10-31T13:36:00Z</dcterms:created>
  <dc:creator>phil</dc:creator>
  <dc:description/>
  <dc:language>fr-FR</dc:language>
  <cp:lastModifiedBy/>
  <cp:lastPrinted>2026-03-19T10:52:58Z</cp:lastPrinted>
  <dcterms:modified xsi:type="dcterms:W3CDTF">2026-03-19T12:10:31Z</dcterms:modified>
  <cp:revision>62</cp:revision>
  <dc:subject/>
  <dc:title>République Française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ID_COL">
    <vt:lpwstr>GI02048-5</vt:lpwstr>
  </property>
  <property fmtid="{D5CDD505-2E9C-101B-9397-08002B2CF9AE}" pid="3" name="Xconvoc_Reference">
    <vt:lpwstr>2025_22</vt:lpwstr>
  </property>
  <property fmtid="{D5CDD505-2E9C-101B-9397-08002B2CF9AE}" pid="4" name="Xconvoc_date_seance">
    <vt:lpwstr>05/12/2025</vt:lpwstr>
  </property>
  <property fmtid="{D5CDD505-2E9C-101B-9397-08002B2CF9AE}" pid="5" name="Xconvoc_objet">
    <vt:lpwstr>Deliberation 22 - Avis PLUi CCCOC</vt:lpwstr>
  </property>
  <property fmtid="{D5CDD505-2E9C-101B-9397-08002B2CF9AE}" pid="6" name="Xconvoc_type">
    <vt:lpwstr>1</vt:lpwstr>
  </property>
</Properties>
</file>